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4BE8" w14:textId="77777777" w:rsidR="009F5593" w:rsidRDefault="009F5593" w:rsidP="003A6C4A">
      <w:pPr>
        <w:jc w:val="center"/>
        <w:rPr>
          <w:b/>
          <w:bCs/>
          <w:i/>
          <w:iCs/>
          <w:u w:val="single"/>
        </w:rPr>
      </w:pPr>
    </w:p>
    <w:p w14:paraId="154AD8ED" w14:textId="77777777" w:rsidR="00A01CC3" w:rsidRDefault="00A01CC3" w:rsidP="003A6C4A">
      <w:pPr>
        <w:jc w:val="center"/>
        <w:rPr>
          <w:b/>
          <w:bCs/>
          <w:i/>
          <w:iCs/>
          <w:u w:val="single"/>
        </w:rPr>
      </w:pPr>
    </w:p>
    <w:p w14:paraId="7370C72C" w14:textId="27E0DDA0" w:rsidR="00CE6144" w:rsidRPr="004506EF" w:rsidRDefault="005072D5" w:rsidP="00CE6144">
      <w:pPr>
        <w:jc w:val="center"/>
        <w:rPr>
          <w:b/>
          <w:bCs/>
          <w:u w:val="single"/>
        </w:rPr>
      </w:pPr>
      <w:r w:rsidRPr="004506EF">
        <w:rPr>
          <w:b/>
          <w:bCs/>
          <w:u w:val="single"/>
        </w:rPr>
        <w:t>MINUTES OF MEETING NO.</w:t>
      </w:r>
      <w:r w:rsidR="006F3E20" w:rsidRPr="004506EF">
        <w:rPr>
          <w:b/>
          <w:bCs/>
          <w:u w:val="single"/>
        </w:rPr>
        <w:t>700</w:t>
      </w:r>
    </w:p>
    <w:p w14:paraId="4895E356" w14:textId="77777777" w:rsidR="00CE6144" w:rsidRPr="004506EF" w:rsidRDefault="00CE6144" w:rsidP="00CE6144">
      <w:pPr>
        <w:jc w:val="center"/>
        <w:rPr>
          <w:b/>
          <w:bCs/>
          <w:u w:val="single"/>
        </w:rPr>
      </w:pPr>
      <w:r w:rsidRPr="004506EF">
        <w:rPr>
          <w:b/>
          <w:bCs/>
          <w:u w:val="single"/>
        </w:rPr>
        <w:t xml:space="preserve">QUEENS CROSS HOUSING ASSOCIATION BOARD OF MANAGEMENT </w:t>
      </w:r>
    </w:p>
    <w:p w14:paraId="0536FD0B" w14:textId="7CC983B6" w:rsidR="00686009" w:rsidRPr="004506EF" w:rsidRDefault="00686009" w:rsidP="00CE6144">
      <w:pPr>
        <w:jc w:val="center"/>
        <w:rPr>
          <w:b/>
          <w:bCs/>
          <w:u w:val="single"/>
        </w:rPr>
      </w:pPr>
      <w:r w:rsidRPr="004506EF">
        <w:rPr>
          <w:b/>
          <w:bCs/>
          <w:u w:val="single"/>
        </w:rPr>
        <w:t xml:space="preserve">472 MARYHILL ROAD </w:t>
      </w:r>
    </w:p>
    <w:p w14:paraId="393F39ED" w14:textId="337F6B84" w:rsidR="005F4B1A" w:rsidRPr="004506EF" w:rsidRDefault="00CE6144" w:rsidP="00CE6144">
      <w:pPr>
        <w:jc w:val="center"/>
        <w:rPr>
          <w:b/>
          <w:bCs/>
          <w:u w:val="single"/>
        </w:rPr>
      </w:pPr>
      <w:r w:rsidRPr="004506EF">
        <w:rPr>
          <w:b/>
          <w:bCs/>
          <w:u w:val="single"/>
        </w:rPr>
        <w:t xml:space="preserve">HELD ON </w:t>
      </w:r>
      <w:r w:rsidR="006F3E20" w:rsidRPr="004506EF">
        <w:rPr>
          <w:b/>
          <w:bCs/>
          <w:u w:val="single"/>
        </w:rPr>
        <w:t>27 MAY 2025</w:t>
      </w:r>
      <w:r w:rsidRPr="004506EF">
        <w:rPr>
          <w:b/>
          <w:bCs/>
          <w:u w:val="single"/>
        </w:rPr>
        <w:t xml:space="preserve"> AT 6.00 P.M.</w:t>
      </w:r>
      <w:r w:rsidR="00936D9E" w:rsidRPr="004506EF">
        <w:rPr>
          <w:b/>
          <w:bCs/>
          <w:u w:val="single"/>
        </w:rPr>
        <w:t xml:space="preserve"> </w:t>
      </w:r>
    </w:p>
    <w:p w14:paraId="499E1137" w14:textId="77777777" w:rsidR="00D55ED2" w:rsidRDefault="00C56D5E" w:rsidP="00D55ED2">
      <w:pPr>
        <w:jc w:val="both"/>
      </w:pPr>
      <w:r>
        <w:t xml:space="preserve"> </w:t>
      </w:r>
    </w:p>
    <w:p w14:paraId="282CA4BC" w14:textId="53AEFDA3" w:rsidR="001D60ED" w:rsidRPr="006D1B1E" w:rsidRDefault="001D60ED" w:rsidP="001D60ED">
      <w:pPr>
        <w:jc w:val="both"/>
      </w:pPr>
      <w:r>
        <w:t>Andrew Burns,</w:t>
      </w:r>
      <w:r w:rsidR="006F3E20">
        <w:t xml:space="preserve"> John Dunn, Chibuzo Ehieze,</w:t>
      </w:r>
      <w:r>
        <w:t xml:space="preserve"> </w:t>
      </w:r>
      <w:r w:rsidRPr="006D1B1E">
        <w:t xml:space="preserve">Ian Elrick, Margaret Glass, John McIntyre, </w:t>
      </w:r>
      <w:r>
        <w:t>Anne Ramsey</w:t>
      </w:r>
      <w:r w:rsidR="006F3E20">
        <w:t xml:space="preserve">.  </w:t>
      </w:r>
    </w:p>
    <w:p w14:paraId="3FA917D4" w14:textId="77777777" w:rsidR="006D1B1E" w:rsidRPr="006D1B1E" w:rsidRDefault="006D1B1E" w:rsidP="001D60ED">
      <w:pPr>
        <w:jc w:val="both"/>
      </w:pPr>
    </w:p>
    <w:p w14:paraId="22C4328C" w14:textId="6905F40C" w:rsidR="006D0DC4" w:rsidRPr="006D1B1E" w:rsidRDefault="006D0DC4" w:rsidP="001D60ED">
      <w:pPr>
        <w:jc w:val="both"/>
      </w:pPr>
      <w:r>
        <w:t xml:space="preserve">Shona Stephen (Chief Executive), Neil Manley (Director of Finance </w:t>
      </w:r>
      <w:r w:rsidR="006E5D93">
        <w:t>&amp;</w:t>
      </w:r>
      <w:r>
        <w:t xml:space="preserve"> Corporate Support), </w:t>
      </w:r>
      <w:r w:rsidR="006F3E20">
        <w:t>Pil Daws</w:t>
      </w:r>
      <w:r w:rsidR="00686009">
        <w:t xml:space="preserve"> </w:t>
      </w:r>
      <w:r>
        <w:t>(Director of Property</w:t>
      </w:r>
      <w:r w:rsidR="006F3E20">
        <w:t xml:space="preserve"> &amp; Placemaking</w:t>
      </w:r>
      <w:r>
        <w:t>), Elizabeth Hood (Depute Director</w:t>
      </w:r>
      <w:r w:rsidR="006E5D93">
        <w:t xml:space="preserve"> of Neighbourhood Services</w:t>
      </w:r>
      <w:r>
        <w:t xml:space="preserve">), </w:t>
      </w:r>
      <w:r w:rsidR="006F3E20">
        <w:t xml:space="preserve">Heather Anderson </w:t>
      </w:r>
      <w:r>
        <w:t>(</w:t>
      </w:r>
      <w:r w:rsidR="006E5D93">
        <w:t>Director of Neighbourhood Services</w:t>
      </w:r>
      <w:r>
        <w:t>), Fiona Smith (</w:t>
      </w:r>
      <w:r w:rsidR="006F3E20">
        <w:t>Head of Customer First</w:t>
      </w:r>
      <w:r>
        <w:t xml:space="preserve">), </w:t>
      </w:r>
      <w:r w:rsidR="006F3E20">
        <w:t>Alison McKay</w:t>
      </w:r>
      <w:r>
        <w:t xml:space="preserve"> (Governance </w:t>
      </w:r>
      <w:r w:rsidR="006F3E20">
        <w:t>Advisor</w:t>
      </w:r>
      <w:r>
        <w:t>).</w:t>
      </w:r>
    </w:p>
    <w:p w14:paraId="118CFB27" w14:textId="77777777" w:rsidR="00CF3928" w:rsidRDefault="00CF3928" w:rsidP="004264DE"/>
    <w:tbl>
      <w:tblPr>
        <w:tblW w:w="10728" w:type="dxa"/>
        <w:tblLayout w:type="fixed"/>
        <w:tblLook w:val="0000" w:firstRow="0" w:lastRow="0" w:firstColumn="0" w:lastColumn="0" w:noHBand="0" w:noVBand="0"/>
      </w:tblPr>
      <w:tblGrid>
        <w:gridCol w:w="827"/>
        <w:gridCol w:w="8671"/>
        <w:gridCol w:w="1230"/>
      </w:tblGrid>
      <w:tr w:rsidR="005F4B1A" w14:paraId="0F868804" w14:textId="77777777" w:rsidTr="00695E1C">
        <w:tc>
          <w:tcPr>
            <w:tcW w:w="827" w:type="dxa"/>
          </w:tcPr>
          <w:p w14:paraId="688BBA58" w14:textId="77777777" w:rsidR="005F4B1A" w:rsidRDefault="005F4B1A"/>
        </w:tc>
        <w:tc>
          <w:tcPr>
            <w:tcW w:w="8671" w:type="dxa"/>
          </w:tcPr>
          <w:p w14:paraId="53789E21" w14:textId="77777777" w:rsidR="00DC2DCE" w:rsidRDefault="00DC2DCE"/>
        </w:tc>
        <w:tc>
          <w:tcPr>
            <w:tcW w:w="1230" w:type="dxa"/>
          </w:tcPr>
          <w:p w14:paraId="555741DC" w14:textId="77777777" w:rsidR="005F4B1A" w:rsidRPr="0020700E" w:rsidRDefault="005F4B1A" w:rsidP="007F2646">
            <w:pPr>
              <w:pStyle w:val="Heading1"/>
              <w:jc w:val="center"/>
            </w:pPr>
            <w:r w:rsidRPr="0020700E">
              <w:t>ACTION</w:t>
            </w:r>
          </w:p>
        </w:tc>
      </w:tr>
      <w:tr w:rsidR="005072D5" w14:paraId="306C2646" w14:textId="77777777" w:rsidTr="00695E1C">
        <w:tc>
          <w:tcPr>
            <w:tcW w:w="827" w:type="dxa"/>
          </w:tcPr>
          <w:p w14:paraId="654C7927" w14:textId="400524AB" w:rsidR="005072D5" w:rsidRDefault="005072D5" w:rsidP="00C22DCE">
            <w:pPr>
              <w:rPr>
                <w:rFonts w:ascii="Arial Bold" w:hAnsi="Arial Bold"/>
                <w:b/>
              </w:rPr>
            </w:pPr>
            <w:r>
              <w:rPr>
                <w:rFonts w:ascii="Arial Bold" w:hAnsi="Arial Bold"/>
                <w:b/>
              </w:rPr>
              <w:t>1.0</w:t>
            </w:r>
          </w:p>
        </w:tc>
        <w:tc>
          <w:tcPr>
            <w:tcW w:w="8671" w:type="dxa"/>
          </w:tcPr>
          <w:p w14:paraId="1AD19A9F" w14:textId="3BE287AC" w:rsidR="005072D5" w:rsidRDefault="004506EF" w:rsidP="005072D5">
            <w:pPr>
              <w:pStyle w:val="Heading1"/>
            </w:pPr>
            <w:r>
              <w:t>HOUSEKEEPING</w:t>
            </w:r>
          </w:p>
          <w:p w14:paraId="41D0A92E" w14:textId="00320AB6" w:rsidR="005072D5" w:rsidRPr="005072D5" w:rsidRDefault="005072D5" w:rsidP="005072D5"/>
        </w:tc>
        <w:tc>
          <w:tcPr>
            <w:tcW w:w="1230" w:type="dxa"/>
          </w:tcPr>
          <w:p w14:paraId="7CF725A5" w14:textId="77777777" w:rsidR="005072D5" w:rsidRDefault="005072D5" w:rsidP="007F2646">
            <w:pPr>
              <w:jc w:val="center"/>
            </w:pPr>
          </w:p>
        </w:tc>
      </w:tr>
      <w:tr w:rsidR="005072D5" w14:paraId="5D0C3EE9" w14:textId="77777777" w:rsidTr="00695E1C">
        <w:tc>
          <w:tcPr>
            <w:tcW w:w="827" w:type="dxa"/>
          </w:tcPr>
          <w:p w14:paraId="38B2F901" w14:textId="39D6514D" w:rsidR="005072D5" w:rsidRPr="005072D5" w:rsidRDefault="005072D5" w:rsidP="00C22DCE">
            <w:r w:rsidRPr="005072D5">
              <w:t>1.1</w:t>
            </w:r>
          </w:p>
        </w:tc>
        <w:tc>
          <w:tcPr>
            <w:tcW w:w="8671" w:type="dxa"/>
          </w:tcPr>
          <w:p w14:paraId="7CAC2995" w14:textId="6FD7747E" w:rsidR="005072D5" w:rsidRDefault="0023657A" w:rsidP="00686009">
            <w:pPr>
              <w:pStyle w:val="Heading1"/>
              <w:rPr>
                <w:b w:val="0"/>
                <w:bCs w:val="0"/>
                <w:u w:val="none"/>
              </w:rPr>
            </w:pPr>
            <w:r>
              <w:rPr>
                <w:b w:val="0"/>
                <w:bCs w:val="0"/>
                <w:u w:val="none"/>
              </w:rPr>
              <w:t xml:space="preserve">Housekeeping </w:t>
            </w:r>
            <w:r w:rsidR="00686009">
              <w:rPr>
                <w:b w:val="0"/>
                <w:bCs w:val="0"/>
                <w:u w:val="none"/>
              </w:rPr>
              <w:t xml:space="preserve">noted.  </w:t>
            </w:r>
          </w:p>
          <w:p w14:paraId="450761DF" w14:textId="59CEC664" w:rsidR="00686009" w:rsidRPr="00686009" w:rsidRDefault="00686009" w:rsidP="00686009"/>
        </w:tc>
        <w:tc>
          <w:tcPr>
            <w:tcW w:w="1230" w:type="dxa"/>
          </w:tcPr>
          <w:p w14:paraId="47427EEE" w14:textId="77777777" w:rsidR="005072D5" w:rsidRDefault="005072D5" w:rsidP="007F2646">
            <w:pPr>
              <w:jc w:val="center"/>
            </w:pPr>
          </w:p>
        </w:tc>
      </w:tr>
      <w:tr w:rsidR="003E735E" w14:paraId="46776A74" w14:textId="77777777" w:rsidTr="00695E1C">
        <w:tc>
          <w:tcPr>
            <w:tcW w:w="827" w:type="dxa"/>
          </w:tcPr>
          <w:p w14:paraId="371CB4EE" w14:textId="41E21279" w:rsidR="003E735E" w:rsidRPr="00C22DCE" w:rsidRDefault="005072D5" w:rsidP="00C22DCE">
            <w:pPr>
              <w:rPr>
                <w:rFonts w:ascii="Arial Bold" w:hAnsi="Arial Bold"/>
                <w:b/>
              </w:rPr>
            </w:pPr>
            <w:r>
              <w:rPr>
                <w:rFonts w:ascii="Arial Bold" w:hAnsi="Arial Bold"/>
                <w:b/>
              </w:rPr>
              <w:t>2</w:t>
            </w:r>
            <w:r w:rsidR="00C22DCE">
              <w:rPr>
                <w:rFonts w:ascii="Arial Bold" w:hAnsi="Arial Bold"/>
                <w:b/>
              </w:rPr>
              <w:t>.0</w:t>
            </w:r>
          </w:p>
        </w:tc>
        <w:tc>
          <w:tcPr>
            <w:tcW w:w="8671" w:type="dxa"/>
          </w:tcPr>
          <w:p w14:paraId="087F5E1C" w14:textId="56B3AEDB" w:rsidR="00F307AB" w:rsidRPr="00043BA8" w:rsidRDefault="004506EF" w:rsidP="005072D5">
            <w:pPr>
              <w:pStyle w:val="Heading1"/>
            </w:pPr>
            <w:r w:rsidRPr="00F2616C">
              <w:t xml:space="preserve">WELCOME </w:t>
            </w:r>
            <w:r>
              <w:t>A</w:t>
            </w:r>
            <w:r w:rsidRPr="00F2616C">
              <w:t xml:space="preserve">ND APOLOGIES </w:t>
            </w:r>
          </w:p>
        </w:tc>
        <w:tc>
          <w:tcPr>
            <w:tcW w:w="1230" w:type="dxa"/>
          </w:tcPr>
          <w:p w14:paraId="0CB5F574" w14:textId="77777777" w:rsidR="003E735E" w:rsidRDefault="003E735E" w:rsidP="007F2646">
            <w:pPr>
              <w:jc w:val="center"/>
            </w:pPr>
          </w:p>
          <w:p w14:paraId="1949FCE4" w14:textId="1325FC25" w:rsidR="00951F82" w:rsidRPr="007F2646" w:rsidRDefault="00951F82" w:rsidP="005072D5"/>
        </w:tc>
      </w:tr>
      <w:tr w:rsidR="005072D5" w14:paraId="16C02B72" w14:textId="77777777" w:rsidTr="00695E1C">
        <w:tc>
          <w:tcPr>
            <w:tcW w:w="827" w:type="dxa"/>
          </w:tcPr>
          <w:p w14:paraId="2EC9EC03" w14:textId="654F633E" w:rsidR="005072D5" w:rsidRPr="005072D5" w:rsidRDefault="005072D5" w:rsidP="00C22DCE">
            <w:r>
              <w:t>2.1</w:t>
            </w:r>
          </w:p>
        </w:tc>
        <w:tc>
          <w:tcPr>
            <w:tcW w:w="8671" w:type="dxa"/>
          </w:tcPr>
          <w:p w14:paraId="319F2F85" w14:textId="359EBDD4" w:rsidR="005072D5" w:rsidRPr="006F3E20" w:rsidRDefault="006A0773" w:rsidP="005072D5">
            <w:pPr>
              <w:pStyle w:val="Heading1"/>
              <w:rPr>
                <w:b w:val="0"/>
                <w:bCs w:val="0"/>
                <w:u w:val="none"/>
              </w:rPr>
            </w:pPr>
            <w:r>
              <w:rPr>
                <w:b w:val="0"/>
                <w:bCs w:val="0"/>
                <w:u w:val="none"/>
              </w:rPr>
              <w:t>Andrew welcome</w:t>
            </w:r>
            <w:r w:rsidR="0023657A">
              <w:rPr>
                <w:b w:val="0"/>
                <w:bCs w:val="0"/>
                <w:u w:val="none"/>
              </w:rPr>
              <w:t xml:space="preserve">d everyone to the meeting. </w:t>
            </w:r>
            <w:r w:rsidR="006F3E20">
              <w:rPr>
                <w:b w:val="0"/>
                <w:bCs w:val="0"/>
                <w:u w:val="none"/>
              </w:rPr>
              <w:t xml:space="preserve">Apologies noted from Sadie Gordon, Matt Millar </w:t>
            </w:r>
            <w:proofErr w:type="gramStart"/>
            <w:r w:rsidR="00686009">
              <w:rPr>
                <w:b w:val="0"/>
                <w:bCs w:val="0"/>
                <w:u w:val="none"/>
              </w:rPr>
              <w:t xml:space="preserve">and </w:t>
            </w:r>
            <w:r w:rsidR="006F3E20">
              <w:rPr>
                <w:b w:val="0"/>
                <w:bCs w:val="0"/>
                <w:u w:val="none"/>
              </w:rPr>
              <w:t xml:space="preserve"> David</w:t>
            </w:r>
            <w:proofErr w:type="gramEnd"/>
            <w:r w:rsidR="006F3E20">
              <w:rPr>
                <w:b w:val="0"/>
                <w:bCs w:val="0"/>
                <w:u w:val="none"/>
              </w:rPr>
              <w:t xml:space="preserve"> Horner</w:t>
            </w:r>
            <w:r w:rsidR="00686009">
              <w:rPr>
                <w:b w:val="0"/>
                <w:bCs w:val="0"/>
                <w:u w:val="none"/>
              </w:rPr>
              <w:t>.</w:t>
            </w:r>
          </w:p>
          <w:p w14:paraId="1370027E" w14:textId="77777777" w:rsidR="005072D5" w:rsidRPr="005072D5" w:rsidRDefault="005072D5" w:rsidP="005072D5"/>
        </w:tc>
        <w:tc>
          <w:tcPr>
            <w:tcW w:w="1230" w:type="dxa"/>
          </w:tcPr>
          <w:p w14:paraId="4B1C4642" w14:textId="77777777" w:rsidR="005072D5" w:rsidRDefault="005072D5" w:rsidP="007F2646">
            <w:pPr>
              <w:jc w:val="center"/>
            </w:pPr>
          </w:p>
        </w:tc>
      </w:tr>
      <w:tr w:rsidR="00D736A8" w:rsidRPr="00D736A8" w14:paraId="3C61B655" w14:textId="77777777" w:rsidTr="00695E1C">
        <w:tc>
          <w:tcPr>
            <w:tcW w:w="827" w:type="dxa"/>
          </w:tcPr>
          <w:p w14:paraId="116F5191" w14:textId="42EECDAB" w:rsidR="00D736A8" w:rsidRPr="00D736A8" w:rsidRDefault="005072D5" w:rsidP="00951F82">
            <w:pPr>
              <w:rPr>
                <w:rFonts w:ascii="Arial Bold" w:hAnsi="Arial Bold"/>
                <w:b/>
              </w:rPr>
            </w:pPr>
            <w:r>
              <w:rPr>
                <w:rFonts w:ascii="Arial Bold" w:hAnsi="Arial Bold"/>
                <w:b/>
              </w:rPr>
              <w:t>3.0</w:t>
            </w:r>
          </w:p>
        </w:tc>
        <w:tc>
          <w:tcPr>
            <w:tcW w:w="8671" w:type="dxa"/>
          </w:tcPr>
          <w:p w14:paraId="16CF1CA6" w14:textId="4E7C5947" w:rsidR="005072D5" w:rsidRDefault="004506EF" w:rsidP="005072D5">
            <w:pPr>
              <w:pStyle w:val="Heading1"/>
            </w:pPr>
            <w:r>
              <w:t xml:space="preserve">DECLARATIONS OF INTEREST </w:t>
            </w:r>
          </w:p>
          <w:p w14:paraId="7698CF9C" w14:textId="57978744" w:rsidR="00D736A8" w:rsidRPr="00D736A8" w:rsidRDefault="00D736A8" w:rsidP="005072D5">
            <w:pPr>
              <w:pStyle w:val="Heading1"/>
              <w:rPr>
                <w:rFonts w:ascii="Arial Bold" w:hAnsi="Arial Bold"/>
                <w:b w:val="0"/>
              </w:rPr>
            </w:pPr>
          </w:p>
        </w:tc>
        <w:tc>
          <w:tcPr>
            <w:tcW w:w="1230" w:type="dxa"/>
          </w:tcPr>
          <w:p w14:paraId="5F618CC1" w14:textId="77777777" w:rsidR="00D736A8" w:rsidRPr="00D736A8" w:rsidRDefault="00D736A8" w:rsidP="007F2646">
            <w:pPr>
              <w:jc w:val="center"/>
              <w:rPr>
                <w:rFonts w:ascii="Arial Bold" w:hAnsi="Arial Bold"/>
                <w:b/>
              </w:rPr>
            </w:pPr>
          </w:p>
        </w:tc>
      </w:tr>
      <w:tr w:rsidR="00951F82" w14:paraId="5B163FAB" w14:textId="77777777" w:rsidTr="00695E1C">
        <w:tc>
          <w:tcPr>
            <w:tcW w:w="827" w:type="dxa"/>
          </w:tcPr>
          <w:p w14:paraId="661548E5" w14:textId="5E54F67B" w:rsidR="00951F82" w:rsidRPr="005072D5" w:rsidRDefault="005072D5" w:rsidP="00951F82">
            <w:r>
              <w:t>3.1</w:t>
            </w:r>
          </w:p>
        </w:tc>
        <w:tc>
          <w:tcPr>
            <w:tcW w:w="8671" w:type="dxa"/>
          </w:tcPr>
          <w:p w14:paraId="599A6D67" w14:textId="07001875" w:rsidR="005914E3" w:rsidRPr="005914E3" w:rsidRDefault="005913BA" w:rsidP="005914E3">
            <w:r>
              <w:t>N</w:t>
            </w:r>
            <w:r w:rsidR="006A0773">
              <w:t>one</w:t>
            </w:r>
          </w:p>
        </w:tc>
        <w:tc>
          <w:tcPr>
            <w:tcW w:w="1230" w:type="dxa"/>
          </w:tcPr>
          <w:p w14:paraId="788409E0" w14:textId="77777777" w:rsidR="00951F82" w:rsidRDefault="00951F82" w:rsidP="007F2646">
            <w:pPr>
              <w:jc w:val="center"/>
            </w:pPr>
          </w:p>
          <w:p w14:paraId="1463FE0F" w14:textId="77777777" w:rsidR="00C27E47" w:rsidRPr="007F2646" w:rsidRDefault="00C27E47" w:rsidP="005072D5"/>
        </w:tc>
      </w:tr>
      <w:tr w:rsidR="00041CC8" w14:paraId="5A1196EB" w14:textId="77777777" w:rsidTr="00695E1C">
        <w:tc>
          <w:tcPr>
            <w:tcW w:w="827" w:type="dxa"/>
          </w:tcPr>
          <w:p w14:paraId="6E3BC3BF" w14:textId="65D1DBC4" w:rsidR="00041CC8" w:rsidRPr="00C22DCE" w:rsidRDefault="005072D5" w:rsidP="00C22DCE">
            <w:pPr>
              <w:rPr>
                <w:rFonts w:ascii="Arial Bold" w:hAnsi="Arial Bold"/>
                <w:b/>
              </w:rPr>
            </w:pPr>
            <w:r>
              <w:rPr>
                <w:rFonts w:ascii="Arial Bold" w:hAnsi="Arial Bold"/>
                <w:b/>
              </w:rPr>
              <w:t>4</w:t>
            </w:r>
            <w:r w:rsidR="00C22DCE">
              <w:rPr>
                <w:rFonts w:ascii="Arial Bold" w:hAnsi="Arial Bold"/>
                <w:b/>
              </w:rPr>
              <w:t>.0</w:t>
            </w:r>
          </w:p>
        </w:tc>
        <w:tc>
          <w:tcPr>
            <w:tcW w:w="8671" w:type="dxa"/>
          </w:tcPr>
          <w:p w14:paraId="438A9437" w14:textId="452A9029" w:rsidR="00115A82" w:rsidRDefault="004506EF" w:rsidP="005072D5">
            <w:pPr>
              <w:pStyle w:val="Heading1"/>
            </w:pPr>
            <w:r>
              <w:t>SCOTTISH HOUSING REGULATOR (SHR) ANNUAL RETURNS</w:t>
            </w:r>
          </w:p>
          <w:p w14:paraId="4E71DF9A" w14:textId="0E3287A6" w:rsidR="005072D5" w:rsidRPr="005072D5" w:rsidRDefault="005072D5" w:rsidP="005072D5"/>
        </w:tc>
        <w:tc>
          <w:tcPr>
            <w:tcW w:w="1230" w:type="dxa"/>
          </w:tcPr>
          <w:p w14:paraId="019C08FE" w14:textId="77777777" w:rsidR="00041CC8" w:rsidRPr="007F2646" w:rsidRDefault="00041CC8" w:rsidP="007F2646">
            <w:pPr>
              <w:jc w:val="center"/>
            </w:pPr>
          </w:p>
        </w:tc>
      </w:tr>
      <w:tr w:rsidR="0023657A" w:rsidRPr="00D609A2" w14:paraId="2247645B" w14:textId="77777777" w:rsidTr="00695E1C">
        <w:tc>
          <w:tcPr>
            <w:tcW w:w="827" w:type="dxa"/>
          </w:tcPr>
          <w:p w14:paraId="23CA267B" w14:textId="4376BDCE" w:rsidR="0023657A" w:rsidRDefault="0023657A" w:rsidP="005072D5">
            <w:r>
              <w:t>4.1</w:t>
            </w:r>
          </w:p>
        </w:tc>
        <w:tc>
          <w:tcPr>
            <w:tcW w:w="8671" w:type="dxa"/>
          </w:tcPr>
          <w:p w14:paraId="2915BF2E" w14:textId="1A78319F" w:rsidR="0023657A" w:rsidRDefault="0023657A" w:rsidP="005072D5">
            <w:pPr>
              <w:pStyle w:val="Heading1"/>
              <w:rPr>
                <w:b w:val="0"/>
                <w:bCs w:val="0"/>
                <w:u w:val="none"/>
              </w:rPr>
            </w:pPr>
            <w:r>
              <w:rPr>
                <w:b w:val="0"/>
                <w:bCs w:val="0"/>
                <w:u w:val="none"/>
              </w:rPr>
              <w:t xml:space="preserve">The purpose of this report was </w:t>
            </w:r>
            <w:r w:rsidR="00686009">
              <w:rPr>
                <w:b w:val="0"/>
                <w:bCs w:val="0"/>
                <w:u w:val="none"/>
              </w:rPr>
              <w:t xml:space="preserve">to seek approval to sign off </w:t>
            </w:r>
            <w:r>
              <w:rPr>
                <w:b w:val="0"/>
                <w:bCs w:val="0"/>
                <w:u w:val="none"/>
              </w:rPr>
              <w:t>the Scottish Housing Regulator (SHR) Annual returns</w:t>
            </w:r>
            <w:r w:rsidR="00E64433">
              <w:rPr>
                <w:b w:val="0"/>
                <w:bCs w:val="0"/>
                <w:u w:val="none"/>
              </w:rPr>
              <w:t xml:space="preserve"> </w:t>
            </w:r>
            <w:proofErr w:type="gramStart"/>
            <w:r w:rsidR="00E64433">
              <w:rPr>
                <w:b w:val="0"/>
                <w:bCs w:val="0"/>
                <w:u w:val="none"/>
              </w:rPr>
              <w:t>including</w:t>
            </w:r>
            <w:r w:rsidR="00686009">
              <w:rPr>
                <w:b w:val="0"/>
                <w:bCs w:val="0"/>
                <w:u w:val="none"/>
              </w:rPr>
              <w:t>:</w:t>
            </w:r>
            <w:proofErr w:type="gramEnd"/>
            <w:r w:rsidR="00E64433">
              <w:rPr>
                <w:b w:val="0"/>
                <w:bCs w:val="0"/>
                <w:u w:val="none"/>
              </w:rPr>
              <w:t xml:space="preserve"> Annual return on Charter (ARC), Annual stock return, five</w:t>
            </w:r>
            <w:r w:rsidR="00686009">
              <w:rPr>
                <w:b w:val="0"/>
                <w:bCs w:val="0"/>
                <w:u w:val="none"/>
              </w:rPr>
              <w:t>-</w:t>
            </w:r>
            <w:r w:rsidR="00E64433">
              <w:rPr>
                <w:b w:val="0"/>
                <w:bCs w:val="0"/>
                <w:u w:val="none"/>
              </w:rPr>
              <w:t xml:space="preserve"> year financial projections, loan portfolio</w:t>
            </w:r>
            <w:r>
              <w:rPr>
                <w:b w:val="0"/>
                <w:bCs w:val="0"/>
                <w:u w:val="none"/>
              </w:rPr>
              <w:t xml:space="preserve">. </w:t>
            </w:r>
            <w:r w:rsidR="00686009">
              <w:rPr>
                <w:b w:val="0"/>
                <w:bCs w:val="0"/>
                <w:u w:val="none"/>
              </w:rPr>
              <w:t>The deadline to upload to the SHR poral is 31 May</w:t>
            </w:r>
            <w:r>
              <w:rPr>
                <w:b w:val="0"/>
                <w:bCs w:val="0"/>
                <w:u w:val="none"/>
              </w:rPr>
              <w:t xml:space="preserve"> </w:t>
            </w:r>
            <w:r w:rsidR="00E64433">
              <w:rPr>
                <w:b w:val="0"/>
                <w:bCs w:val="0"/>
                <w:u w:val="none"/>
              </w:rPr>
              <w:t xml:space="preserve">  </w:t>
            </w:r>
            <w:r>
              <w:rPr>
                <w:b w:val="0"/>
                <w:bCs w:val="0"/>
                <w:u w:val="none"/>
              </w:rPr>
              <w:t xml:space="preserve">This report was presented by Neil Manley, Director of Finance &amp; Corporate Support.  </w:t>
            </w:r>
          </w:p>
          <w:p w14:paraId="1D32FC4D" w14:textId="3346E9C3" w:rsidR="0023657A" w:rsidRPr="0023657A" w:rsidRDefault="0023657A" w:rsidP="0023657A"/>
        </w:tc>
        <w:tc>
          <w:tcPr>
            <w:tcW w:w="1230" w:type="dxa"/>
          </w:tcPr>
          <w:p w14:paraId="4805D19E" w14:textId="77777777" w:rsidR="0023657A" w:rsidRPr="00D609A2" w:rsidRDefault="0023657A" w:rsidP="007F2646">
            <w:pPr>
              <w:jc w:val="center"/>
            </w:pPr>
          </w:p>
        </w:tc>
      </w:tr>
      <w:tr w:rsidR="007D36A3" w:rsidRPr="00D609A2" w14:paraId="059DAE38" w14:textId="77777777" w:rsidTr="00695E1C">
        <w:tc>
          <w:tcPr>
            <w:tcW w:w="827" w:type="dxa"/>
          </w:tcPr>
          <w:p w14:paraId="4D6BAA1B" w14:textId="06173EE3" w:rsidR="007D36A3" w:rsidRDefault="007D36A3" w:rsidP="005072D5">
            <w:r>
              <w:t>4.</w:t>
            </w:r>
            <w:r w:rsidR="00686009">
              <w:t>2</w:t>
            </w:r>
          </w:p>
        </w:tc>
        <w:tc>
          <w:tcPr>
            <w:tcW w:w="8671" w:type="dxa"/>
          </w:tcPr>
          <w:p w14:paraId="6ECDF30F" w14:textId="77378DEE" w:rsidR="007D36A3" w:rsidRDefault="00686009" w:rsidP="005072D5">
            <w:pPr>
              <w:pStyle w:val="Heading1"/>
              <w:rPr>
                <w:b w:val="0"/>
                <w:bCs w:val="0"/>
                <w:u w:val="none"/>
              </w:rPr>
            </w:pPr>
            <w:r>
              <w:rPr>
                <w:b w:val="0"/>
                <w:bCs w:val="0"/>
                <w:u w:val="none"/>
              </w:rPr>
              <w:t>There were no questions, and the board gave approval</w:t>
            </w:r>
            <w:r w:rsidR="007D36A3">
              <w:rPr>
                <w:b w:val="0"/>
                <w:bCs w:val="0"/>
                <w:u w:val="none"/>
              </w:rPr>
              <w:t xml:space="preserve"> for Neil as </w:t>
            </w:r>
            <w:r>
              <w:rPr>
                <w:b w:val="0"/>
                <w:bCs w:val="0"/>
                <w:u w:val="none"/>
              </w:rPr>
              <w:t xml:space="preserve">Company Secretary </w:t>
            </w:r>
            <w:r w:rsidR="007D36A3">
              <w:rPr>
                <w:b w:val="0"/>
                <w:bCs w:val="0"/>
                <w:u w:val="none"/>
              </w:rPr>
              <w:t xml:space="preserve">to sign and submit these returns. </w:t>
            </w:r>
          </w:p>
          <w:p w14:paraId="3669B13D" w14:textId="5874E19B" w:rsidR="007D36A3" w:rsidRPr="007D36A3" w:rsidRDefault="007D36A3" w:rsidP="007D36A3"/>
        </w:tc>
        <w:tc>
          <w:tcPr>
            <w:tcW w:w="1230" w:type="dxa"/>
          </w:tcPr>
          <w:p w14:paraId="0FC14C6D" w14:textId="77777777" w:rsidR="007D36A3" w:rsidRPr="00D609A2" w:rsidRDefault="007D36A3" w:rsidP="007F2646">
            <w:pPr>
              <w:jc w:val="center"/>
            </w:pPr>
          </w:p>
        </w:tc>
      </w:tr>
      <w:tr w:rsidR="005072D5" w:rsidRPr="00D609A2" w14:paraId="620BF1CE" w14:textId="77777777" w:rsidTr="00695E1C">
        <w:tc>
          <w:tcPr>
            <w:tcW w:w="827" w:type="dxa"/>
          </w:tcPr>
          <w:p w14:paraId="56B364B9" w14:textId="08803F97" w:rsidR="005072D5" w:rsidRDefault="005072D5" w:rsidP="005072D5">
            <w:r>
              <w:rPr>
                <w:rFonts w:ascii="Arial Bold" w:hAnsi="Arial Bold"/>
                <w:b/>
              </w:rPr>
              <w:t>5.0</w:t>
            </w:r>
          </w:p>
        </w:tc>
        <w:tc>
          <w:tcPr>
            <w:tcW w:w="8671" w:type="dxa"/>
          </w:tcPr>
          <w:p w14:paraId="1CB08C9B" w14:textId="6BF7658E" w:rsidR="005072D5" w:rsidRDefault="004506EF" w:rsidP="005072D5">
            <w:pPr>
              <w:pStyle w:val="Heading1"/>
            </w:pPr>
            <w:r>
              <w:t>2024-2025 Q4 PERFORMANCE REPORT</w:t>
            </w:r>
          </w:p>
          <w:p w14:paraId="3B2BFCA0" w14:textId="5AE4D066" w:rsidR="007D36A3" w:rsidRPr="007D36A3" w:rsidRDefault="007D36A3" w:rsidP="007D36A3"/>
        </w:tc>
        <w:tc>
          <w:tcPr>
            <w:tcW w:w="1230" w:type="dxa"/>
          </w:tcPr>
          <w:p w14:paraId="218763CA" w14:textId="77777777" w:rsidR="005072D5" w:rsidRPr="00D609A2" w:rsidRDefault="005072D5" w:rsidP="005072D5">
            <w:pPr>
              <w:jc w:val="center"/>
            </w:pPr>
          </w:p>
        </w:tc>
      </w:tr>
      <w:tr w:rsidR="007D36A3" w:rsidRPr="00D609A2" w14:paraId="5B2DC750" w14:textId="77777777" w:rsidTr="00695E1C">
        <w:tc>
          <w:tcPr>
            <w:tcW w:w="827" w:type="dxa"/>
          </w:tcPr>
          <w:p w14:paraId="0109DF0B" w14:textId="3A0B6FFC" w:rsidR="007D36A3" w:rsidRDefault="007D36A3" w:rsidP="005072D5">
            <w:r>
              <w:t>5.</w:t>
            </w:r>
            <w:r w:rsidR="00AF435E">
              <w:t>0.1</w:t>
            </w:r>
          </w:p>
        </w:tc>
        <w:tc>
          <w:tcPr>
            <w:tcW w:w="8671" w:type="dxa"/>
          </w:tcPr>
          <w:p w14:paraId="49F3F2AB" w14:textId="1E47AD7E" w:rsidR="007D36A3" w:rsidRDefault="007D36A3" w:rsidP="005072D5">
            <w:pPr>
              <w:pStyle w:val="Heading1"/>
              <w:rPr>
                <w:b w:val="0"/>
                <w:bCs w:val="0"/>
                <w:u w:val="none"/>
              </w:rPr>
            </w:pPr>
            <w:r>
              <w:rPr>
                <w:b w:val="0"/>
                <w:bCs w:val="0"/>
                <w:u w:val="none"/>
              </w:rPr>
              <w:t>The purpose of this report was for the Board</w:t>
            </w:r>
            <w:r w:rsidR="00F66EBC">
              <w:rPr>
                <w:b w:val="0"/>
                <w:bCs w:val="0"/>
                <w:u w:val="none"/>
              </w:rPr>
              <w:t xml:space="preserve"> to note and discuss Q4 performance.  This report was presented by Neil Manley, Director of Finance &amp; Corporate Support. </w:t>
            </w:r>
            <w:r w:rsidR="00AF435E">
              <w:rPr>
                <w:b w:val="0"/>
                <w:bCs w:val="0"/>
                <w:u w:val="none"/>
              </w:rPr>
              <w:t>Appendix 5.1 provide</w:t>
            </w:r>
            <w:r w:rsidR="00686009">
              <w:rPr>
                <w:b w:val="0"/>
                <w:bCs w:val="0"/>
                <w:u w:val="none"/>
              </w:rPr>
              <w:t>d</w:t>
            </w:r>
            <w:r w:rsidR="00AF435E">
              <w:rPr>
                <w:b w:val="0"/>
                <w:bCs w:val="0"/>
                <w:u w:val="none"/>
              </w:rPr>
              <w:t xml:space="preserve"> background into each KPI. </w:t>
            </w:r>
          </w:p>
          <w:p w14:paraId="72BE4A09" w14:textId="594828A6" w:rsidR="00F66EBC" w:rsidRPr="00F66EBC" w:rsidRDefault="00F66EBC" w:rsidP="00F66EBC"/>
        </w:tc>
        <w:tc>
          <w:tcPr>
            <w:tcW w:w="1230" w:type="dxa"/>
          </w:tcPr>
          <w:p w14:paraId="092B3F73" w14:textId="77777777" w:rsidR="007D36A3" w:rsidRPr="00D609A2" w:rsidRDefault="007D36A3" w:rsidP="005072D5">
            <w:pPr>
              <w:jc w:val="center"/>
            </w:pPr>
          </w:p>
        </w:tc>
      </w:tr>
      <w:tr w:rsidR="00AF435E" w:rsidRPr="00D609A2" w14:paraId="5DCDA431" w14:textId="77777777" w:rsidTr="00695E1C">
        <w:tc>
          <w:tcPr>
            <w:tcW w:w="827" w:type="dxa"/>
          </w:tcPr>
          <w:p w14:paraId="06698612" w14:textId="5629C715" w:rsidR="00AF435E" w:rsidRPr="00AF435E" w:rsidRDefault="00AF435E" w:rsidP="005072D5">
            <w:pPr>
              <w:rPr>
                <w:b/>
                <w:bCs/>
              </w:rPr>
            </w:pPr>
            <w:r w:rsidRPr="00AF435E">
              <w:rPr>
                <w:b/>
                <w:bCs/>
              </w:rPr>
              <w:t>5.1</w:t>
            </w:r>
          </w:p>
        </w:tc>
        <w:tc>
          <w:tcPr>
            <w:tcW w:w="8671" w:type="dxa"/>
          </w:tcPr>
          <w:p w14:paraId="7CCF8938" w14:textId="77777777" w:rsidR="00AF435E" w:rsidRDefault="00AF435E" w:rsidP="005072D5">
            <w:pPr>
              <w:pStyle w:val="Heading1"/>
            </w:pPr>
            <w:r w:rsidRPr="00AF435E">
              <w:t>KPI’s</w:t>
            </w:r>
          </w:p>
          <w:p w14:paraId="1949203B" w14:textId="04CA1496" w:rsidR="00061006" w:rsidRPr="00061006" w:rsidRDefault="00061006" w:rsidP="00061006"/>
        </w:tc>
        <w:tc>
          <w:tcPr>
            <w:tcW w:w="1230" w:type="dxa"/>
          </w:tcPr>
          <w:p w14:paraId="25663A0C" w14:textId="77777777" w:rsidR="00AF435E" w:rsidRPr="00D609A2" w:rsidRDefault="00AF435E" w:rsidP="005072D5">
            <w:pPr>
              <w:jc w:val="center"/>
            </w:pPr>
          </w:p>
        </w:tc>
      </w:tr>
      <w:tr w:rsidR="00AF435E" w:rsidRPr="00D609A2" w14:paraId="157381ED" w14:textId="77777777" w:rsidTr="00695E1C">
        <w:tc>
          <w:tcPr>
            <w:tcW w:w="827" w:type="dxa"/>
          </w:tcPr>
          <w:p w14:paraId="47E50189" w14:textId="54AAB0E9" w:rsidR="00AF435E" w:rsidRPr="00AF435E" w:rsidRDefault="00AF435E" w:rsidP="005072D5">
            <w:r>
              <w:t>5.1.1</w:t>
            </w:r>
          </w:p>
        </w:tc>
        <w:tc>
          <w:tcPr>
            <w:tcW w:w="8671" w:type="dxa"/>
          </w:tcPr>
          <w:p w14:paraId="4F724114" w14:textId="6A09E8AC" w:rsidR="00AF435E" w:rsidRDefault="00AF435E" w:rsidP="005072D5">
            <w:pPr>
              <w:pStyle w:val="Heading1"/>
              <w:rPr>
                <w:b w:val="0"/>
                <w:bCs w:val="0"/>
                <w:u w:val="none"/>
              </w:rPr>
            </w:pPr>
            <w:r>
              <w:rPr>
                <w:b w:val="0"/>
                <w:bCs w:val="0"/>
                <w:u w:val="none"/>
              </w:rPr>
              <w:t xml:space="preserve">The </w:t>
            </w:r>
            <w:r w:rsidR="00686009">
              <w:rPr>
                <w:b w:val="0"/>
                <w:bCs w:val="0"/>
                <w:u w:val="none"/>
              </w:rPr>
              <w:t xml:space="preserve">Board noted </w:t>
            </w:r>
            <w:r>
              <w:rPr>
                <w:b w:val="0"/>
                <w:bCs w:val="0"/>
                <w:u w:val="none"/>
              </w:rPr>
              <w:t xml:space="preserve">KPI’s </w:t>
            </w:r>
            <w:r w:rsidR="00686009">
              <w:rPr>
                <w:b w:val="0"/>
                <w:bCs w:val="0"/>
                <w:u w:val="none"/>
              </w:rPr>
              <w:t>were</w:t>
            </w:r>
            <w:r>
              <w:rPr>
                <w:b w:val="0"/>
                <w:bCs w:val="0"/>
                <w:u w:val="none"/>
              </w:rPr>
              <w:t xml:space="preserve"> set out </w:t>
            </w:r>
            <w:r w:rsidR="00686009">
              <w:rPr>
                <w:b w:val="0"/>
                <w:bCs w:val="0"/>
                <w:u w:val="none"/>
              </w:rPr>
              <w:t>at section 2.2 of the report with a detailed narrative at A</w:t>
            </w:r>
            <w:r w:rsidR="00065753">
              <w:rPr>
                <w:b w:val="0"/>
                <w:bCs w:val="0"/>
                <w:u w:val="none"/>
              </w:rPr>
              <w:t xml:space="preserve">ppendix 5.  </w:t>
            </w:r>
            <w:r>
              <w:rPr>
                <w:b w:val="0"/>
                <w:bCs w:val="0"/>
                <w:u w:val="none"/>
              </w:rPr>
              <w:t xml:space="preserve">  </w:t>
            </w:r>
          </w:p>
          <w:p w14:paraId="3778C3B4" w14:textId="05E771AE" w:rsidR="00AF435E" w:rsidRPr="00AF435E" w:rsidRDefault="00AF435E" w:rsidP="00AF435E"/>
        </w:tc>
        <w:tc>
          <w:tcPr>
            <w:tcW w:w="1230" w:type="dxa"/>
          </w:tcPr>
          <w:p w14:paraId="2EF8AF8D" w14:textId="77777777" w:rsidR="00AF435E" w:rsidRPr="00D609A2" w:rsidRDefault="00AF435E" w:rsidP="005072D5">
            <w:pPr>
              <w:jc w:val="center"/>
            </w:pPr>
          </w:p>
        </w:tc>
      </w:tr>
      <w:tr w:rsidR="00E91D2B" w:rsidRPr="00D609A2" w14:paraId="552A9233" w14:textId="77777777" w:rsidTr="00695E1C">
        <w:tc>
          <w:tcPr>
            <w:tcW w:w="827" w:type="dxa"/>
          </w:tcPr>
          <w:p w14:paraId="399CAC59" w14:textId="335BA872" w:rsidR="00E91D2B" w:rsidRPr="00E91D2B" w:rsidRDefault="00E91D2B" w:rsidP="005072D5">
            <w:pPr>
              <w:rPr>
                <w:b/>
                <w:bCs/>
              </w:rPr>
            </w:pPr>
            <w:r>
              <w:rPr>
                <w:b/>
                <w:bCs/>
              </w:rPr>
              <w:t>5.2</w:t>
            </w:r>
          </w:p>
        </w:tc>
        <w:tc>
          <w:tcPr>
            <w:tcW w:w="8671" w:type="dxa"/>
          </w:tcPr>
          <w:p w14:paraId="102205E6" w14:textId="50A809C5" w:rsidR="00E91D2B" w:rsidRDefault="004506EF" w:rsidP="00365D71">
            <w:pPr>
              <w:rPr>
                <w:b/>
                <w:bCs/>
                <w:u w:val="single"/>
              </w:rPr>
            </w:pPr>
            <w:r>
              <w:rPr>
                <w:b/>
                <w:bCs/>
                <w:u w:val="single"/>
              </w:rPr>
              <w:t>COMPLAINTS AND COMPLIMENTS REPORT</w:t>
            </w:r>
          </w:p>
          <w:p w14:paraId="4A8CA786" w14:textId="6E2A6453" w:rsidR="00E91D2B" w:rsidRPr="00E91D2B" w:rsidRDefault="00E91D2B" w:rsidP="00365D71">
            <w:pPr>
              <w:rPr>
                <w:b/>
                <w:bCs/>
                <w:u w:val="single"/>
              </w:rPr>
            </w:pPr>
          </w:p>
        </w:tc>
        <w:tc>
          <w:tcPr>
            <w:tcW w:w="1230" w:type="dxa"/>
          </w:tcPr>
          <w:p w14:paraId="1103ADAD" w14:textId="77777777" w:rsidR="00E91D2B" w:rsidRPr="00D609A2" w:rsidRDefault="00E91D2B" w:rsidP="005072D5">
            <w:pPr>
              <w:jc w:val="center"/>
            </w:pPr>
          </w:p>
        </w:tc>
      </w:tr>
      <w:tr w:rsidR="00E91D2B" w:rsidRPr="00D609A2" w14:paraId="747BBA27" w14:textId="77777777" w:rsidTr="00695E1C">
        <w:tc>
          <w:tcPr>
            <w:tcW w:w="827" w:type="dxa"/>
          </w:tcPr>
          <w:p w14:paraId="1972CC3F" w14:textId="495F1E32" w:rsidR="00E91D2B" w:rsidRDefault="00E91D2B" w:rsidP="005072D5">
            <w:r>
              <w:t>5.2.1</w:t>
            </w:r>
          </w:p>
        </w:tc>
        <w:tc>
          <w:tcPr>
            <w:tcW w:w="8671" w:type="dxa"/>
          </w:tcPr>
          <w:p w14:paraId="75302E9C" w14:textId="6AB83DD9" w:rsidR="00E91D2B" w:rsidRPr="00E91D2B" w:rsidRDefault="00686009" w:rsidP="00E91D2B">
            <w:r>
              <w:t>The Board noted t</w:t>
            </w:r>
            <w:r w:rsidR="00E91D2B" w:rsidRPr="00E91D2B">
              <w:t>he number of complaints overall ha</w:t>
            </w:r>
            <w:r>
              <w:t>s</w:t>
            </w:r>
            <w:r w:rsidR="00E91D2B" w:rsidRPr="00E91D2B">
              <w:t xml:space="preserve"> </w:t>
            </w:r>
            <w:r>
              <w:t xml:space="preserve">remained </w:t>
            </w:r>
            <w:r w:rsidR="00E91D2B" w:rsidRPr="00E91D2B">
              <w:t>the same this quarter</w:t>
            </w:r>
            <w:r>
              <w:t>.</w:t>
            </w:r>
            <w:r w:rsidR="00E91D2B">
              <w:t xml:space="preserve">  </w:t>
            </w:r>
          </w:p>
          <w:p w14:paraId="64125989" w14:textId="77777777" w:rsidR="00E91D2B" w:rsidRDefault="00E91D2B" w:rsidP="00365D71"/>
        </w:tc>
        <w:tc>
          <w:tcPr>
            <w:tcW w:w="1230" w:type="dxa"/>
          </w:tcPr>
          <w:p w14:paraId="2F01D601" w14:textId="77777777" w:rsidR="00E91D2B" w:rsidRPr="00D609A2" w:rsidRDefault="00E91D2B" w:rsidP="005072D5">
            <w:pPr>
              <w:jc w:val="center"/>
            </w:pPr>
          </w:p>
        </w:tc>
      </w:tr>
      <w:tr w:rsidR="00427536" w:rsidRPr="00D609A2" w14:paraId="331D7B1F" w14:textId="77777777" w:rsidTr="00695E1C">
        <w:tc>
          <w:tcPr>
            <w:tcW w:w="827" w:type="dxa"/>
          </w:tcPr>
          <w:p w14:paraId="5FE63570" w14:textId="45804F53" w:rsidR="00427536" w:rsidRDefault="00427536" w:rsidP="005072D5">
            <w:r>
              <w:t>5.2.2</w:t>
            </w:r>
          </w:p>
        </w:tc>
        <w:tc>
          <w:tcPr>
            <w:tcW w:w="8671" w:type="dxa"/>
          </w:tcPr>
          <w:p w14:paraId="208D5642" w14:textId="77777777" w:rsidR="00686009" w:rsidRDefault="00686009" w:rsidP="00427536">
            <w:r>
              <w:t>It was noted that the repairs figures are</w:t>
            </w:r>
            <w:r w:rsidR="00427536">
              <w:t xml:space="preserve"> based on a full year of </w:t>
            </w:r>
            <w:r>
              <w:t>repairs.</w:t>
            </w:r>
            <w:r w:rsidR="00427536">
              <w:t xml:space="preserve"> The Association </w:t>
            </w:r>
            <w:r>
              <w:t>is working with the contractor to improve areas of dissatisfaction but overall performance is very good</w:t>
            </w:r>
            <w:r w:rsidR="00427536">
              <w:t xml:space="preserve">.   </w:t>
            </w:r>
          </w:p>
          <w:p w14:paraId="0F4A2362" w14:textId="5E318967" w:rsidR="00427536" w:rsidRDefault="00686009" w:rsidP="00583D50">
            <w:r>
              <w:t xml:space="preserve">Analysis of complaints is </w:t>
            </w:r>
            <w:r w:rsidR="00427536">
              <w:t xml:space="preserve">being undertaken and it is </w:t>
            </w:r>
            <w:r>
              <w:t>anticipated that the introduction of a new customer feedback system</w:t>
            </w:r>
            <w:r w:rsidR="00427536">
              <w:t xml:space="preserve"> </w:t>
            </w:r>
            <w:r>
              <w:t xml:space="preserve">will </w:t>
            </w:r>
            <w:r w:rsidR="00583D50">
              <w:t xml:space="preserve">allow real time customer feedback to allow the </w:t>
            </w:r>
            <w:r w:rsidR="00583D50">
              <w:lastRenderedPageBreak/>
              <w:t>feedback process to be easier and allow us the r</w:t>
            </w:r>
            <w:r w:rsidR="00583D50" w:rsidRPr="00583D50">
              <w:t>espond instantly and drive up tenant satisfaction scores</w:t>
            </w:r>
            <w:r w:rsidR="00583D50">
              <w:t xml:space="preserve">  The board noted Q4 is always one of the busiest times  for repairs therefore more </w:t>
            </w:r>
            <w:r w:rsidR="00427536">
              <w:t xml:space="preserve">pressures are put </w:t>
            </w:r>
            <w:r w:rsidR="005A16DF">
              <w:t xml:space="preserve">on resources </w:t>
            </w:r>
            <w:r w:rsidR="00583D50">
              <w:t>and service deliver y can be impacted.</w:t>
            </w:r>
            <w:r w:rsidR="005A16DF">
              <w:t xml:space="preserve">  The </w:t>
            </w:r>
            <w:r w:rsidR="00427536">
              <w:t xml:space="preserve">Board noted the </w:t>
            </w:r>
            <w:r w:rsidR="00583D50">
              <w:t xml:space="preserve">number of </w:t>
            </w:r>
            <w:r w:rsidR="00427536">
              <w:t xml:space="preserve">complaints compared to total repairs </w:t>
            </w:r>
            <w:r w:rsidR="00583D50">
              <w:t>completed evidences the service is very good with a high level of satisfaction.</w:t>
            </w:r>
          </w:p>
          <w:p w14:paraId="1D9CE4BA" w14:textId="20421478" w:rsidR="00583D50" w:rsidRPr="00E91D2B" w:rsidRDefault="00583D50" w:rsidP="00583D50"/>
        </w:tc>
        <w:tc>
          <w:tcPr>
            <w:tcW w:w="1230" w:type="dxa"/>
          </w:tcPr>
          <w:p w14:paraId="26FF81A6" w14:textId="77777777" w:rsidR="00427536" w:rsidRPr="00D609A2" w:rsidRDefault="00427536" w:rsidP="005072D5">
            <w:pPr>
              <w:jc w:val="center"/>
            </w:pPr>
          </w:p>
        </w:tc>
      </w:tr>
      <w:tr w:rsidR="00E91D2B" w:rsidRPr="00D609A2" w14:paraId="023CB068" w14:textId="77777777" w:rsidTr="00695E1C">
        <w:tc>
          <w:tcPr>
            <w:tcW w:w="827" w:type="dxa"/>
          </w:tcPr>
          <w:p w14:paraId="26DA6881" w14:textId="5C930E0E" w:rsidR="00E91D2B" w:rsidRPr="00E91D2B" w:rsidRDefault="00E91D2B" w:rsidP="005072D5">
            <w:pPr>
              <w:rPr>
                <w:b/>
                <w:bCs/>
              </w:rPr>
            </w:pPr>
            <w:r w:rsidRPr="00E91D2B">
              <w:rPr>
                <w:b/>
                <w:bCs/>
              </w:rPr>
              <w:t>5.3</w:t>
            </w:r>
          </w:p>
        </w:tc>
        <w:tc>
          <w:tcPr>
            <w:tcW w:w="8671" w:type="dxa"/>
          </w:tcPr>
          <w:p w14:paraId="7F80AA7F" w14:textId="5EE6C7AA" w:rsidR="00E91D2B" w:rsidRDefault="004506EF" w:rsidP="00365D71">
            <w:pPr>
              <w:rPr>
                <w:b/>
                <w:bCs/>
                <w:u w:val="single"/>
              </w:rPr>
            </w:pPr>
            <w:r w:rsidRPr="00E91D2B">
              <w:rPr>
                <w:b/>
                <w:bCs/>
                <w:u w:val="single"/>
              </w:rPr>
              <w:t>STRATEGIC RISK REGISTER</w:t>
            </w:r>
          </w:p>
          <w:p w14:paraId="23E7D1C4" w14:textId="5F8FC4BD" w:rsidR="00E91D2B" w:rsidRPr="00E91D2B" w:rsidRDefault="00E91D2B" w:rsidP="00365D71">
            <w:pPr>
              <w:rPr>
                <w:b/>
                <w:bCs/>
                <w:u w:val="single"/>
              </w:rPr>
            </w:pPr>
          </w:p>
        </w:tc>
        <w:tc>
          <w:tcPr>
            <w:tcW w:w="1230" w:type="dxa"/>
          </w:tcPr>
          <w:p w14:paraId="0F671FD4" w14:textId="77777777" w:rsidR="00E91D2B" w:rsidRPr="00D609A2" w:rsidRDefault="00E91D2B" w:rsidP="005072D5">
            <w:pPr>
              <w:jc w:val="center"/>
            </w:pPr>
          </w:p>
        </w:tc>
      </w:tr>
      <w:tr w:rsidR="00E91D2B" w:rsidRPr="00D609A2" w14:paraId="297CE031" w14:textId="77777777" w:rsidTr="00695E1C">
        <w:tc>
          <w:tcPr>
            <w:tcW w:w="827" w:type="dxa"/>
          </w:tcPr>
          <w:p w14:paraId="7BE969B5" w14:textId="663E6EA8" w:rsidR="00E91D2B" w:rsidRDefault="00E91D2B" w:rsidP="005072D5">
            <w:r>
              <w:t>5.3.1</w:t>
            </w:r>
          </w:p>
        </w:tc>
        <w:tc>
          <w:tcPr>
            <w:tcW w:w="8671" w:type="dxa"/>
          </w:tcPr>
          <w:p w14:paraId="3C8FD16B" w14:textId="2FD82112" w:rsidR="00E91D2B" w:rsidRDefault="00583D50" w:rsidP="00365D71">
            <w:r>
              <w:t xml:space="preserve">It was noted that the Board will review </w:t>
            </w:r>
            <w:r w:rsidR="00E91D2B">
              <w:t xml:space="preserve">the strategic risk register at the Board business planning day on 13 June.  </w:t>
            </w:r>
          </w:p>
          <w:p w14:paraId="448947BB" w14:textId="11A65873" w:rsidR="00E91D2B" w:rsidRDefault="00E91D2B" w:rsidP="00365D71"/>
        </w:tc>
        <w:tc>
          <w:tcPr>
            <w:tcW w:w="1230" w:type="dxa"/>
          </w:tcPr>
          <w:p w14:paraId="619197E4" w14:textId="77777777" w:rsidR="00E91D2B" w:rsidRPr="00D609A2" w:rsidRDefault="00E91D2B" w:rsidP="005072D5">
            <w:pPr>
              <w:jc w:val="center"/>
            </w:pPr>
          </w:p>
        </w:tc>
      </w:tr>
      <w:tr w:rsidR="00061006" w:rsidRPr="00D609A2" w14:paraId="2C5FECB9" w14:textId="77777777" w:rsidTr="00695E1C">
        <w:tc>
          <w:tcPr>
            <w:tcW w:w="827" w:type="dxa"/>
          </w:tcPr>
          <w:p w14:paraId="34525A05" w14:textId="27DB2A37" w:rsidR="00061006" w:rsidRPr="00061006" w:rsidRDefault="00061006" w:rsidP="005072D5">
            <w:pPr>
              <w:rPr>
                <w:b/>
                <w:bCs/>
              </w:rPr>
            </w:pPr>
            <w:r>
              <w:rPr>
                <w:b/>
                <w:bCs/>
              </w:rPr>
              <w:t>5.4</w:t>
            </w:r>
          </w:p>
        </w:tc>
        <w:tc>
          <w:tcPr>
            <w:tcW w:w="8671" w:type="dxa"/>
          </w:tcPr>
          <w:p w14:paraId="48D494E6" w14:textId="08ACA0A9" w:rsidR="00061006" w:rsidRDefault="004506EF" w:rsidP="00365D71">
            <w:pPr>
              <w:rPr>
                <w:b/>
                <w:bCs/>
                <w:u w:val="single"/>
              </w:rPr>
            </w:pPr>
            <w:r>
              <w:rPr>
                <w:b/>
                <w:bCs/>
                <w:u w:val="single"/>
              </w:rPr>
              <w:t>MANAGEMENT ACCOUNTS</w:t>
            </w:r>
          </w:p>
          <w:p w14:paraId="56543673" w14:textId="26AFCB52" w:rsidR="00061006" w:rsidRPr="00061006" w:rsidRDefault="00061006" w:rsidP="00365D71">
            <w:pPr>
              <w:rPr>
                <w:b/>
                <w:bCs/>
                <w:u w:val="single"/>
              </w:rPr>
            </w:pPr>
          </w:p>
        </w:tc>
        <w:tc>
          <w:tcPr>
            <w:tcW w:w="1230" w:type="dxa"/>
          </w:tcPr>
          <w:p w14:paraId="77B9C24D" w14:textId="77777777" w:rsidR="00061006" w:rsidRPr="00D609A2" w:rsidRDefault="00061006" w:rsidP="005072D5">
            <w:pPr>
              <w:jc w:val="center"/>
            </w:pPr>
          </w:p>
        </w:tc>
      </w:tr>
      <w:tr w:rsidR="00061006" w:rsidRPr="00D609A2" w14:paraId="423BAB20" w14:textId="77777777" w:rsidTr="00695E1C">
        <w:tc>
          <w:tcPr>
            <w:tcW w:w="827" w:type="dxa"/>
          </w:tcPr>
          <w:p w14:paraId="7F80AC86" w14:textId="221A01F1" w:rsidR="00061006" w:rsidRDefault="00061006" w:rsidP="005072D5">
            <w:r>
              <w:t>5.4.1</w:t>
            </w:r>
          </w:p>
        </w:tc>
        <w:tc>
          <w:tcPr>
            <w:tcW w:w="8671" w:type="dxa"/>
          </w:tcPr>
          <w:p w14:paraId="111AF50B" w14:textId="634F84B4" w:rsidR="00061006" w:rsidRDefault="00583D50" w:rsidP="00365D71">
            <w:pPr>
              <w:rPr>
                <w:color w:val="000000" w:themeColor="text1"/>
              </w:rPr>
            </w:pPr>
            <w:r>
              <w:rPr>
                <w:color w:val="000000" w:themeColor="text1"/>
              </w:rPr>
              <w:t>The Board noted that the accounts</w:t>
            </w:r>
            <w:r w:rsidR="00427536" w:rsidRPr="00B45656">
              <w:rPr>
                <w:color w:val="000000" w:themeColor="text1"/>
              </w:rPr>
              <w:t xml:space="preserve"> form part of the quarterly </w:t>
            </w:r>
            <w:r>
              <w:rPr>
                <w:color w:val="000000" w:themeColor="text1"/>
              </w:rPr>
              <w:t>finance</w:t>
            </w:r>
            <w:r w:rsidR="00427536" w:rsidRPr="00B45656">
              <w:rPr>
                <w:color w:val="000000" w:themeColor="text1"/>
              </w:rPr>
              <w:t xml:space="preserve"> information provided to the board.</w:t>
            </w:r>
            <w:r w:rsidR="00427536">
              <w:rPr>
                <w:color w:val="000000" w:themeColor="text1"/>
              </w:rPr>
              <w:t xml:space="preserve"> These </w:t>
            </w:r>
            <w:r>
              <w:rPr>
                <w:color w:val="000000" w:themeColor="text1"/>
              </w:rPr>
              <w:t xml:space="preserve">month </w:t>
            </w:r>
            <w:r w:rsidR="00427536">
              <w:rPr>
                <w:color w:val="000000" w:themeColor="text1"/>
              </w:rPr>
              <w:t xml:space="preserve">12 figures </w:t>
            </w:r>
            <w:r>
              <w:rPr>
                <w:color w:val="000000" w:themeColor="text1"/>
              </w:rPr>
              <w:t xml:space="preserve">are draft </w:t>
            </w:r>
            <w:r w:rsidR="00427536">
              <w:rPr>
                <w:color w:val="000000" w:themeColor="text1"/>
              </w:rPr>
              <w:t xml:space="preserve">as annual accruals and adjustments </w:t>
            </w:r>
            <w:r>
              <w:rPr>
                <w:color w:val="000000" w:themeColor="text1"/>
              </w:rPr>
              <w:t xml:space="preserve">continue </w:t>
            </w:r>
            <w:r w:rsidR="00427536">
              <w:rPr>
                <w:color w:val="000000" w:themeColor="text1"/>
              </w:rPr>
              <w:t>as part of the annual audit and year end process</w:t>
            </w:r>
            <w:r w:rsidR="00542B51">
              <w:rPr>
                <w:color w:val="000000" w:themeColor="text1"/>
              </w:rPr>
              <w:t xml:space="preserve">. </w:t>
            </w:r>
          </w:p>
          <w:p w14:paraId="06678965" w14:textId="3F4AB6B6" w:rsidR="00542B51" w:rsidRDefault="00542B51" w:rsidP="00365D71"/>
        </w:tc>
        <w:tc>
          <w:tcPr>
            <w:tcW w:w="1230" w:type="dxa"/>
          </w:tcPr>
          <w:p w14:paraId="4D0E8CC8" w14:textId="77777777" w:rsidR="00061006" w:rsidRPr="00D609A2" w:rsidRDefault="00061006" w:rsidP="005072D5">
            <w:pPr>
              <w:jc w:val="center"/>
            </w:pPr>
          </w:p>
        </w:tc>
      </w:tr>
      <w:tr w:rsidR="00542B51" w:rsidRPr="00D609A2" w14:paraId="15826DAB" w14:textId="77777777" w:rsidTr="00695E1C">
        <w:tc>
          <w:tcPr>
            <w:tcW w:w="827" w:type="dxa"/>
          </w:tcPr>
          <w:p w14:paraId="47952892" w14:textId="18F5B884" w:rsidR="00542B51" w:rsidRDefault="00542B51" w:rsidP="005072D5">
            <w:r>
              <w:t>5.4.</w:t>
            </w:r>
            <w:r w:rsidR="00583D50">
              <w:t>2</w:t>
            </w:r>
            <w:r>
              <w:t xml:space="preserve"> </w:t>
            </w:r>
          </w:p>
        </w:tc>
        <w:tc>
          <w:tcPr>
            <w:tcW w:w="8671" w:type="dxa"/>
          </w:tcPr>
          <w:p w14:paraId="7B0D5289" w14:textId="15AC140A" w:rsidR="00542B51" w:rsidRDefault="00583D50" w:rsidP="00365D71">
            <w:r>
              <w:t>There was a discussion on the e</w:t>
            </w:r>
            <w:r w:rsidR="00542B51">
              <w:t>xpenditure variance</w:t>
            </w:r>
            <w:r w:rsidR="00542B51" w:rsidRPr="004B38A5">
              <w:rPr>
                <w:b/>
                <w:bCs/>
              </w:rPr>
              <w:t>- £</w:t>
            </w:r>
            <w:r w:rsidR="00542B51">
              <w:rPr>
                <w:b/>
                <w:bCs/>
              </w:rPr>
              <w:t>375k</w:t>
            </w:r>
            <w:r w:rsidR="00542B51" w:rsidRPr="00B97D18">
              <w:rPr>
                <w:b/>
                <w:bCs/>
              </w:rPr>
              <w:t xml:space="preserve"> </w:t>
            </w:r>
            <w:r w:rsidR="00542B51">
              <w:rPr>
                <w:b/>
                <w:bCs/>
              </w:rPr>
              <w:t xml:space="preserve">adverse </w:t>
            </w:r>
            <w:r w:rsidR="00542B51" w:rsidRPr="00065B7A">
              <w:rPr>
                <w:b/>
                <w:bCs/>
              </w:rPr>
              <w:t>(</w:t>
            </w:r>
            <w:r w:rsidR="00542B51">
              <w:rPr>
                <w:b/>
                <w:bCs/>
              </w:rPr>
              <w:t>-1.4%</w:t>
            </w:r>
            <w:r w:rsidR="00542B51" w:rsidRPr="00065B7A">
              <w:rPr>
                <w:b/>
                <w:bCs/>
              </w:rPr>
              <w:t>),</w:t>
            </w:r>
            <w:r w:rsidR="00542B51">
              <w:t xml:space="preserve"> an overspend </w:t>
            </w:r>
            <w:r w:rsidR="00542B51" w:rsidRPr="00464605">
              <w:t xml:space="preserve">to </w:t>
            </w:r>
            <w:r w:rsidR="00542B51">
              <w:t xml:space="preserve">the </w:t>
            </w:r>
            <w:r w:rsidR="00542B51" w:rsidRPr="00464605">
              <w:t>phased revenue budget</w:t>
            </w:r>
            <w:r w:rsidR="00542B51">
              <w:t xml:space="preserve">.  </w:t>
            </w:r>
          </w:p>
          <w:p w14:paraId="40424D12" w14:textId="116DA861" w:rsidR="00542B51" w:rsidRDefault="00542B51" w:rsidP="00365D71"/>
        </w:tc>
        <w:tc>
          <w:tcPr>
            <w:tcW w:w="1230" w:type="dxa"/>
          </w:tcPr>
          <w:p w14:paraId="4A9371D2" w14:textId="77777777" w:rsidR="00542B51" w:rsidRPr="00D609A2" w:rsidRDefault="00542B51" w:rsidP="005072D5">
            <w:pPr>
              <w:jc w:val="center"/>
            </w:pPr>
          </w:p>
        </w:tc>
      </w:tr>
      <w:tr w:rsidR="003C176B" w:rsidRPr="00D609A2" w14:paraId="133299CC" w14:textId="77777777" w:rsidTr="00695E1C">
        <w:tc>
          <w:tcPr>
            <w:tcW w:w="827" w:type="dxa"/>
          </w:tcPr>
          <w:p w14:paraId="76F72280" w14:textId="2E88C6C0" w:rsidR="003C176B" w:rsidRDefault="003C176B" w:rsidP="005072D5">
            <w:r>
              <w:t>5.4.</w:t>
            </w:r>
            <w:r w:rsidR="00CC7ACD">
              <w:t>3</w:t>
            </w:r>
          </w:p>
        </w:tc>
        <w:tc>
          <w:tcPr>
            <w:tcW w:w="8671" w:type="dxa"/>
          </w:tcPr>
          <w:p w14:paraId="35FB937B" w14:textId="25CA8530" w:rsidR="003C176B" w:rsidRPr="00A171F3" w:rsidRDefault="003C176B" w:rsidP="003C176B">
            <w:pPr>
              <w:jc w:val="both"/>
            </w:pPr>
            <w:r>
              <w:t>The Board noted t</w:t>
            </w:r>
            <w:r w:rsidRPr="00A171F3">
              <w:t xml:space="preserve">he financial position of the factoring subsidiary </w:t>
            </w:r>
            <w:r>
              <w:t>was</w:t>
            </w:r>
            <w:r w:rsidRPr="00A171F3">
              <w:t xml:space="preserve"> </w:t>
            </w:r>
            <w:r>
              <w:t xml:space="preserve">not available at the time of writing and will follow.  </w:t>
            </w:r>
          </w:p>
          <w:p w14:paraId="01F37440" w14:textId="0F5595AD" w:rsidR="003C176B" w:rsidRDefault="003C176B" w:rsidP="00365D71"/>
        </w:tc>
        <w:tc>
          <w:tcPr>
            <w:tcW w:w="1230" w:type="dxa"/>
          </w:tcPr>
          <w:p w14:paraId="73BF7684" w14:textId="77777777" w:rsidR="003C176B" w:rsidRPr="00D609A2" w:rsidRDefault="003C176B" w:rsidP="005072D5">
            <w:pPr>
              <w:jc w:val="center"/>
            </w:pPr>
          </w:p>
        </w:tc>
      </w:tr>
      <w:tr w:rsidR="003C176B" w:rsidRPr="00D609A2" w14:paraId="73D2653F" w14:textId="77777777" w:rsidTr="00695E1C">
        <w:tc>
          <w:tcPr>
            <w:tcW w:w="827" w:type="dxa"/>
          </w:tcPr>
          <w:p w14:paraId="19D49E7A" w14:textId="359B8B9A" w:rsidR="003C176B" w:rsidRDefault="003C176B" w:rsidP="005072D5">
            <w:r>
              <w:t>5.4.</w:t>
            </w:r>
            <w:r w:rsidR="0083390C">
              <w:t>4</w:t>
            </w:r>
          </w:p>
        </w:tc>
        <w:tc>
          <w:tcPr>
            <w:tcW w:w="8671" w:type="dxa"/>
          </w:tcPr>
          <w:p w14:paraId="49618938" w14:textId="1CDAF8B9" w:rsidR="003C176B" w:rsidRDefault="003C176B" w:rsidP="00365D71">
            <w:r>
              <w:t xml:space="preserve">The Board </w:t>
            </w:r>
            <w:r w:rsidR="00CC7ACD">
              <w:t xml:space="preserve">discussed </w:t>
            </w:r>
            <w:r>
              <w:t xml:space="preserve">the loan covenant on </w:t>
            </w:r>
            <w:r w:rsidR="00CC7ACD">
              <w:t>A</w:t>
            </w:r>
            <w:r>
              <w:t xml:space="preserve">ppendix 4 which shows the covenant </w:t>
            </w:r>
            <w:r w:rsidR="00CC7ACD">
              <w:t xml:space="preserve">has been met by a larger margin </w:t>
            </w:r>
            <w:r>
              <w:t xml:space="preserve">more than expected.   Neil noted that </w:t>
            </w:r>
            <w:r w:rsidR="00CC7ACD">
              <w:t xml:space="preserve">this is as a result of lower </w:t>
            </w:r>
            <w:r>
              <w:t xml:space="preserve">investment </w:t>
            </w:r>
            <w:proofErr w:type="gramStart"/>
            <w:r>
              <w:t xml:space="preserve">spend </w:t>
            </w:r>
            <w:r w:rsidR="00CC7ACD">
              <w:t xml:space="preserve"> and</w:t>
            </w:r>
            <w:proofErr w:type="gramEnd"/>
            <w:r w:rsidR="00CC7ACD">
              <w:t xml:space="preserve"> </w:t>
            </w:r>
            <w:proofErr w:type="gramStart"/>
            <w:r w:rsidR="00CC7ACD">
              <w:t xml:space="preserve">that </w:t>
            </w:r>
            <w:r>
              <w:t xml:space="preserve"> the</w:t>
            </w:r>
            <w:proofErr w:type="gramEnd"/>
            <w:r>
              <w:t xml:space="preserve"> margin will be tighter than reported </w:t>
            </w:r>
            <w:r w:rsidR="00CC7ACD">
              <w:t xml:space="preserve">when </w:t>
            </w:r>
            <w:r>
              <w:t xml:space="preserve">accruals are taken into consideration.  </w:t>
            </w:r>
          </w:p>
          <w:p w14:paraId="0CD060FA" w14:textId="57095D67" w:rsidR="003C176B" w:rsidRDefault="003C176B" w:rsidP="00365D71"/>
        </w:tc>
        <w:tc>
          <w:tcPr>
            <w:tcW w:w="1230" w:type="dxa"/>
          </w:tcPr>
          <w:p w14:paraId="31250234" w14:textId="77777777" w:rsidR="003C176B" w:rsidRPr="00D609A2" w:rsidRDefault="003C176B" w:rsidP="005072D5">
            <w:pPr>
              <w:jc w:val="center"/>
            </w:pPr>
          </w:p>
        </w:tc>
      </w:tr>
      <w:tr w:rsidR="003C176B" w:rsidRPr="00D609A2" w14:paraId="14D2D319" w14:textId="77777777" w:rsidTr="00695E1C">
        <w:tc>
          <w:tcPr>
            <w:tcW w:w="827" w:type="dxa"/>
          </w:tcPr>
          <w:p w14:paraId="481EFD1B" w14:textId="5055FB91" w:rsidR="003C176B" w:rsidRPr="003C176B" w:rsidRDefault="003C176B" w:rsidP="005072D5">
            <w:pPr>
              <w:rPr>
                <w:b/>
                <w:bCs/>
              </w:rPr>
            </w:pPr>
            <w:r>
              <w:rPr>
                <w:b/>
                <w:bCs/>
              </w:rPr>
              <w:t>5.5</w:t>
            </w:r>
          </w:p>
        </w:tc>
        <w:tc>
          <w:tcPr>
            <w:tcW w:w="8671" w:type="dxa"/>
          </w:tcPr>
          <w:p w14:paraId="157960F9" w14:textId="3C2D85F9" w:rsidR="003C176B" w:rsidRDefault="004506EF" w:rsidP="00365D71">
            <w:pPr>
              <w:rPr>
                <w:b/>
                <w:bCs/>
                <w:u w:val="single"/>
              </w:rPr>
            </w:pPr>
            <w:r>
              <w:rPr>
                <w:b/>
                <w:bCs/>
                <w:u w:val="single"/>
              </w:rPr>
              <w:t>HAMILTONHILL</w:t>
            </w:r>
          </w:p>
          <w:p w14:paraId="67E0C521" w14:textId="56EB382F" w:rsidR="003C176B" w:rsidRPr="003C176B" w:rsidRDefault="003C176B" w:rsidP="00365D71">
            <w:pPr>
              <w:rPr>
                <w:b/>
                <w:bCs/>
                <w:u w:val="single"/>
              </w:rPr>
            </w:pPr>
          </w:p>
        </w:tc>
        <w:tc>
          <w:tcPr>
            <w:tcW w:w="1230" w:type="dxa"/>
          </w:tcPr>
          <w:p w14:paraId="34F77867" w14:textId="77777777" w:rsidR="003C176B" w:rsidRPr="00D609A2" w:rsidRDefault="003C176B" w:rsidP="005072D5">
            <w:pPr>
              <w:jc w:val="center"/>
            </w:pPr>
          </w:p>
        </w:tc>
      </w:tr>
      <w:tr w:rsidR="006B385E" w:rsidRPr="00D609A2" w14:paraId="32D835E5" w14:textId="77777777" w:rsidTr="00695E1C">
        <w:tc>
          <w:tcPr>
            <w:tcW w:w="827" w:type="dxa"/>
          </w:tcPr>
          <w:p w14:paraId="54293D81" w14:textId="2AF77C68" w:rsidR="006B385E" w:rsidRDefault="006B385E" w:rsidP="005072D5">
            <w:r>
              <w:t>5.5.1</w:t>
            </w:r>
          </w:p>
        </w:tc>
        <w:tc>
          <w:tcPr>
            <w:tcW w:w="8671" w:type="dxa"/>
          </w:tcPr>
          <w:p w14:paraId="067603D5" w14:textId="77777777" w:rsidR="006B385E" w:rsidRDefault="006B385E" w:rsidP="00365D71">
            <w:r>
              <w:t xml:space="preserve">Phil Daws, Director of Property, Enterprise &amp; Regeneration provided a brief update on the progress for the </w:t>
            </w:r>
            <w:proofErr w:type="spellStart"/>
            <w:r>
              <w:t>Hamiltonhill</w:t>
            </w:r>
            <w:proofErr w:type="spellEnd"/>
            <w:r>
              <w:t xml:space="preserve"> project.  </w:t>
            </w:r>
          </w:p>
          <w:p w14:paraId="4D296231" w14:textId="271B1DB5" w:rsidR="006B385E" w:rsidRDefault="006B385E" w:rsidP="00365D71"/>
        </w:tc>
        <w:tc>
          <w:tcPr>
            <w:tcW w:w="1230" w:type="dxa"/>
          </w:tcPr>
          <w:p w14:paraId="47A8D3F5" w14:textId="77777777" w:rsidR="006B385E" w:rsidRPr="00D609A2" w:rsidRDefault="006B385E" w:rsidP="005072D5">
            <w:pPr>
              <w:jc w:val="center"/>
            </w:pPr>
          </w:p>
        </w:tc>
      </w:tr>
      <w:tr w:rsidR="006B385E" w:rsidRPr="00D609A2" w14:paraId="46496CB9" w14:textId="77777777" w:rsidTr="00695E1C">
        <w:tc>
          <w:tcPr>
            <w:tcW w:w="827" w:type="dxa"/>
          </w:tcPr>
          <w:p w14:paraId="48CAF3D4" w14:textId="7CA4AD5D" w:rsidR="006B385E" w:rsidRDefault="006B385E" w:rsidP="005072D5">
            <w:r>
              <w:t>5.5.2</w:t>
            </w:r>
          </w:p>
        </w:tc>
        <w:tc>
          <w:tcPr>
            <w:tcW w:w="8671" w:type="dxa"/>
          </w:tcPr>
          <w:p w14:paraId="37AFAA7F" w14:textId="2772E3AE" w:rsidR="006B385E" w:rsidRDefault="006B385E" w:rsidP="0083390C">
            <w:r>
              <w:t xml:space="preserve">Urban Union (UU) </w:t>
            </w:r>
            <w:r w:rsidR="0083390C">
              <w:t xml:space="preserve">had </w:t>
            </w:r>
            <w:r>
              <w:t>provided handover dates at the start of May giving 8 weeks</w:t>
            </w:r>
            <w:r w:rsidR="0083390C">
              <w:t xml:space="preserve">’ </w:t>
            </w:r>
            <w:r>
              <w:t xml:space="preserve">notice for some blocks. </w:t>
            </w:r>
            <w:r w:rsidR="0083390C">
              <w:t>Disappointingly there have been delays and there is a meeting with Urban Union next week when the position should be clearer.</w:t>
            </w:r>
          </w:p>
          <w:p w14:paraId="2CF8D838" w14:textId="564C2D0D" w:rsidR="0083390C" w:rsidRDefault="0083390C" w:rsidP="0083390C"/>
        </w:tc>
        <w:tc>
          <w:tcPr>
            <w:tcW w:w="1230" w:type="dxa"/>
          </w:tcPr>
          <w:p w14:paraId="618BABC4" w14:textId="77777777" w:rsidR="006B385E" w:rsidRPr="00D609A2" w:rsidRDefault="006B385E" w:rsidP="005072D5">
            <w:pPr>
              <w:jc w:val="center"/>
            </w:pPr>
          </w:p>
        </w:tc>
      </w:tr>
      <w:tr w:rsidR="005072D5" w:rsidRPr="00D609A2" w14:paraId="4363EFDC" w14:textId="77777777" w:rsidTr="00695E1C">
        <w:tc>
          <w:tcPr>
            <w:tcW w:w="827" w:type="dxa"/>
          </w:tcPr>
          <w:p w14:paraId="658BA68D" w14:textId="4577BBC3" w:rsidR="005072D5" w:rsidRDefault="005072D5" w:rsidP="005072D5">
            <w:r>
              <w:rPr>
                <w:rFonts w:ascii="Arial Bold" w:hAnsi="Arial Bold"/>
                <w:b/>
              </w:rPr>
              <w:t>6.0</w:t>
            </w:r>
          </w:p>
        </w:tc>
        <w:tc>
          <w:tcPr>
            <w:tcW w:w="8671" w:type="dxa"/>
          </w:tcPr>
          <w:p w14:paraId="1BA57EB4" w14:textId="027F1B2D" w:rsidR="005072D5" w:rsidRDefault="004506EF" w:rsidP="005072D5">
            <w:pPr>
              <w:pStyle w:val="Heading1"/>
            </w:pPr>
            <w:r>
              <w:t>ASSET MANAGEMENT STRATEGY</w:t>
            </w:r>
          </w:p>
          <w:p w14:paraId="398168FB" w14:textId="77777777" w:rsidR="005072D5" w:rsidRDefault="005072D5" w:rsidP="005072D5">
            <w:pPr>
              <w:pStyle w:val="Heading1"/>
            </w:pPr>
          </w:p>
        </w:tc>
        <w:tc>
          <w:tcPr>
            <w:tcW w:w="1230" w:type="dxa"/>
          </w:tcPr>
          <w:p w14:paraId="34A54564" w14:textId="77777777" w:rsidR="005072D5" w:rsidRPr="00D609A2" w:rsidRDefault="005072D5" w:rsidP="005072D5">
            <w:pPr>
              <w:jc w:val="center"/>
            </w:pPr>
          </w:p>
        </w:tc>
      </w:tr>
      <w:tr w:rsidR="00D536D8" w:rsidRPr="00D609A2" w14:paraId="1014211E" w14:textId="77777777" w:rsidTr="00695E1C">
        <w:tc>
          <w:tcPr>
            <w:tcW w:w="827" w:type="dxa"/>
          </w:tcPr>
          <w:p w14:paraId="52719176" w14:textId="49B56AE9" w:rsidR="00D536D8" w:rsidRDefault="00D536D8" w:rsidP="005072D5">
            <w:r>
              <w:t>6.1</w:t>
            </w:r>
          </w:p>
        </w:tc>
        <w:tc>
          <w:tcPr>
            <w:tcW w:w="8671" w:type="dxa"/>
          </w:tcPr>
          <w:p w14:paraId="54C92E41" w14:textId="77777777" w:rsidR="00D536D8" w:rsidRDefault="00D536D8" w:rsidP="0083390C">
            <w:pPr>
              <w:pStyle w:val="Heading1"/>
              <w:rPr>
                <w:b w:val="0"/>
                <w:bCs w:val="0"/>
                <w:u w:val="none"/>
              </w:rPr>
            </w:pPr>
            <w:r>
              <w:rPr>
                <w:b w:val="0"/>
                <w:bCs w:val="0"/>
                <w:u w:val="none"/>
              </w:rPr>
              <w:t xml:space="preserve">A presentation on the draft Asset Management Strategy was </w:t>
            </w:r>
            <w:proofErr w:type="gramStart"/>
            <w:r w:rsidR="0083390C">
              <w:rPr>
                <w:b w:val="0"/>
                <w:bCs w:val="0"/>
                <w:u w:val="none"/>
              </w:rPr>
              <w:t xml:space="preserve">delivered </w:t>
            </w:r>
            <w:r>
              <w:rPr>
                <w:b w:val="0"/>
                <w:bCs w:val="0"/>
                <w:u w:val="none"/>
              </w:rPr>
              <w:t xml:space="preserve"> to</w:t>
            </w:r>
            <w:proofErr w:type="gramEnd"/>
            <w:r>
              <w:rPr>
                <w:b w:val="0"/>
                <w:bCs w:val="0"/>
                <w:u w:val="none"/>
              </w:rPr>
              <w:t xml:space="preserve"> the Board by Phil Daws, Director of Property, Enterprise </w:t>
            </w:r>
            <w:proofErr w:type="gramStart"/>
            <w:r w:rsidR="0083390C">
              <w:rPr>
                <w:b w:val="0"/>
                <w:bCs w:val="0"/>
                <w:u w:val="none"/>
              </w:rPr>
              <w:t xml:space="preserve">and </w:t>
            </w:r>
            <w:r>
              <w:rPr>
                <w:b w:val="0"/>
                <w:bCs w:val="0"/>
                <w:u w:val="none"/>
              </w:rPr>
              <w:t xml:space="preserve"> Regeneration</w:t>
            </w:r>
            <w:proofErr w:type="gramEnd"/>
            <w:r>
              <w:rPr>
                <w:b w:val="0"/>
                <w:bCs w:val="0"/>
                <w:u w:val="none"/>
              </w:rPr>
              <w:t xml:space="preserve">. </w:t>
            </w:r>
            <w:r w:rsidR="00AF3E21">
              <w:rPr>
                <w:b w:val="0"/>
                <w:bCs w:val="0"/>
                <w:u w:val="none"/>
              </w:rPr>
              <w:t xml:space="preserve"> </w:t>
            </w:r>
          </w:p>
          <w:p w14:paraId="69E63B19" w14:textId="7D22CBF8" w:rsidR="0083390C" w:rsidRPr="0083390C" w:rsidRDefault="0083390C" w:rsidP="0083390C"/>
        </w:tc>
        <w:tc>
          <w:tcPr>
            <w:tcW w:w="1230" w:type="dxa"/>
          </w:tcPr>
          <w:p w14:paraId="4076291D" w14:textId="77777777" w:rsidR="00D536D8" w:rsidRPr="00D609A2" w:rsidRDefault="00D536D8" w:rsidP="005072D5">
            <w:pPr>
              <w:jc w:val="center"/>
            </w:pPr>
          </w:p>
        </w:tc>
      </w:tr>
      <w:tr w:rsidR="0065580B" w:rsidRPr="00D609A2" w14:paraId="792EFFF5" w14:textId="77777777" w:rsidTr="00695E1C">
        <w:tc>
          <w:tcPr>
            <w:tcW w:w="827" w:type="dxa"/>
          </w:tcPr>
          <w:p w14:paraId="5BF1B524" w14:textId="37A54CF1" w:rsidR="0065580B" w:rsidRDefault="0065580B" w:rsidP="005072D5">
            <w:r>
              <w:t>6.</w:t>
            </w:r>
            <w:r w:rsidR="0083390C">
              <w:t>2</w:t>
            </w:r>
          </w:p>
        </w:tc>
        <w:tc>
          <w:tcPr>
            <w:tcW w:w="8671" w:type="dxa"/>
          </w:tcPr>
          <w:p w14:paraId="16BBF7B5" w14:textId="38E99CD8" w:rsidR="004D6909" w:rsidRDefault="0083390C" w:rsidP="004D6909">
            <w:pPr>
              <w:jc w:val="both"/>
            </w:pPr>
            <w:r>
              <w:t>The board noted that a</w:t>
            </w:r>
            <w:r w:rsidR="004D6909">
              <w:t xml:space="preserve"> stock condition survey of was undertaken by Langmuir &amp; Hay in 2024.  This was based upon an overall 13% sample internal survey and 35% sample external survey</w:t>
            </w:r>
            <w:r>
              <w:t xml:space="preserve"> and that</w:t>
            </w:r>
            <w:r w:rsidR="006C02CA">
              <w:t xml:space="preserve"> 71% of our stock was built in 1965 or later meaning 25% </w:t>
            </w:r>
            <w:r w:rsidR="00FD4BD0">
              <w:t xml:space="preserve">of the QCHA stock is 61 years or older which is not unusual within social housing stock.  38% of the QCHA stock is constituted as high rise.  </w:t>
            </w:r>
            <w:r>
              <w:t>The proposed investment plan for the next 3 years was shared.</w:t>
            </w:r>
          </w:p>
          <w:p w14:paraId="62BF1831" w14:textId="441A8683" w:rsidR="0065580B" w:rsidRDefault="0065580B" w:rsidP="00FE1131"/>
        </w:tc>
        <w:tc>
          <w:tcPr>
            <w:tcW w:w="1230" w:type="dxa"/>
          </w:tcPr>
          <w:p w14:paraId="58100224" w14:textId="77777777" w:rsidR="0065580B" w:rsidRPr="00D609A2" w:rsidRDefault="0065580B" w:rsidP="005072D5">
            <w:pPr>
              <w:jc w:val="center"/>
            </w:pPr>
          </w:p>
        </w:tc>
      </w:tr>
      <w:tr w:rsidR="00077603" w:rsidRPr="00D609A2" w14:paraId="7DFB203A" w14:textId="77777777" w:rsidTr="00695E1C">
        <w:tc>
          <w:tcPr>
            <w:tcW w:w="827" w:type="dxa"/>
          </w:tcPr>
          <w:p w14:paraId="573349DF" w14:textId="3DBDCD3E" w:rsidR="00077603" w:rsidRDefault="00077603" w:rsidP="005072D5">
            <w:r>
              <w:t>6.</w:t>
            </w:r>
            <w:r w:rsidR="0083390C">
              <w:t>3</w:t>
            </w:r>
          </w:p>
        </w:tc>
        <w:tc>
          <w:tcPr>
            <w:tcW w:w="8671" w:type="dxa"/>
          </w:tcPr>
          <w:p w14:paraId="3E23926D" w14:textId="6DAF658F" w:rsidR="00AF533B" w:rsidRDefault="0083390C" w:rsidP="00AF533B">
            <w:pPr>
              <w:rPr>
                <w:lang w:val="en-US"/>
              </w:rPr>
            </w:pPr>
            <w:r>
              <w:t>A</w:t>
            </w:r>
            <w:r w:rsidR="00077603">
              <w:t>n asset management framework has been produced</w:t>
            </w:r>
            <w:r w:rsidR="00395CB7">
              <w:t>,</w:t>
            </w:r>
            <w:r w:rsidR="00077603">
              <w:t xml:space="preserve"> </w:t>
            </w:r>
            <w:r w:rsidR="00395CB7">
              <w:t>and a</w:t>
            </w:r>
            <w:r w:rsidR="00AF533B">
              <w:rPr>
                <w:lang w:val="en-US"/>
              </w:rPr>
              <w:t xml:space="preserve"> complete review will be undertaken to ensure that going forward the correct information is being collected and can be easily </w:t>
            </w:r>
            <w:proofErr w:type="spellStart"/>
            <w:r w:rsidR="00AF533B">
              <w:rPr>
                <w:lang w:val="en-US"/>
              </w:rPr>
              <w:t>analysed</w:t>
            </w:r>
            <w:proofErr w:type="spellEnd"/>
            <w:r w:rsidR="00AF533B">
              <w:rPr>
                <w:lang w:val="en-US"/>
              </w:rPr>
              <w:t xml:space="preserve">. This information </w:t>
            </w:r>
            <w:r w:rsidR="00395CB7">
              <w:rPr>
                <w:lang w:val="en-US"/>
              </w:rPr>
              <w:t>will</w:t>
            </w:r>
            <w:r w:rsidR="00AF533B">
              <w:rPr>
                <w:lang w:val="en-US"/>
              </w:rPr>
              <w:t xml:space="preserve"> detail and classify each property from the following perspectives:</w:t>
            </w:r>
          </w:p>
          <w:p w14:paraId="75B53E74" w14:textId="77777777" w:rsidR="00AF533B" w:rsidRPr="00AF533B" w:rsidRDefault="00AF533B" w:rsidP="00AF533B">
            <w:pPr>
              <w:pStyle w:val="ListParagraph"/>
              <w:numPr>
                <w:ilvl w:val="0"/>
                <w:numId w:val="21"/>
              </w:numPr>
              <w:spacing w:after="200" w:line="276" w:lineRule="auto"/>
              <w:rPr>
                <w:rFonts w:ascii="Arial" w:hAnsi="Arial" w:cs="Arial"/>
                <w:sz w:val="22"/>
                <w:szCs w:val="22"/>
              </w:rPr>
            </w:pPr>
            <w:r w:rsidRPr="00AF533B">
              <w:rPr>
                <w:rFonts w:ascii="Arial" w:hAnsi="Arial" w:cs="Arial"/>
                <w:sz w:val="22"/>
                <w:szCs w:val="22"/>
              </w:rPr>
              <w:t>General Property Indicators (</w:t>
            </w:r>
            <w:proofErr w:type="spellStart"/>
            <w:r w:rsidRPr="00AF533B">
              <w:rPr>
                <w:rFonts w:ascii="Arial" w:hAnsi="Arial" w:cs="Arial"/>
                <w:sz w:val="22"/>
                <w:szCs w:val="22"/>
              </w:rPr>
              <w:t>eg</w:t>
            </w:r>
            <w:proofErr w:type="spellEnd"/>
            <w:r w:rsidRPr="00AF533B">
              <w:rPr>
                <w:rFonts w:ascii="Arial" w:hAnsi="Arial" w:cs="Arial"/>
                <w:sz w:val="22"/>
                <w:szCs w:val="22"/>
              </w:rPr>
              <w:t xml:space="preserve"> size/ construction type/ location/ age)</w:t>
            </w:r>
          </w:p>
          <w:p w14:paraId="4529E6B2" w14:textId="77777777" w:rsidR="00AF533B" w:rsidRPr="00AF533B" w:rsidRDefault="00AF533B" w:rsidP="00AF533B">
            <w:pPr>
              <w:pStyle w:val="ListParagraph"/>
              <w:numPr>
                <w:ilvl w:val="0"/>
                <w:numId w:val="20"/>
              </w:numPr>
              <w:spacing w:after="200" w:line="276" w:lineRule="auto"/>
              <w:rPr>
                <w:rFonts w:ascii="Arial" w:hAnsi="Arial" w:cs="Arial"/>
                <w:sz w:val="22"/>
                <w:szCs w:val="22"/>
              </w:rPr>
            </w:pPr>
            <w:r w:rsidRPr="00AF533B">
              <w:rPr>
                <w:rFonts w:ascii="Arial" w:hAnsi="Arial" w:cs="Arial"/>
                <w:sz w:val="22"/>
                <w:szCs w:val="22"/>
              </w:rPr>
              <w:t>Investment Performance (</w:t>
            </w:r>
            <w:proofErr w:type="spellStart"/>
            <w:r w:rsidRPr="00AF533B">
              <w:rPr>
                <w:rFonts w:ascii="Arial" w:hAnsi="Arial" w:cs="Arial"/>
                <w:sz w:val="22"/>
                <w:szCs w:val="22"/>
              </w:rPr>
              <w:t>eg</w:t>
            </w:r>
            <w:proofErr w:type="spellEnd"/>
            <w:r w:rsidRPr="00AF533B">
              <w:rPr>
                <w:rFonts w:ascii="Arial" w:hAnsi="Arial" w:cs="Arial"/>
                <w:sz w:val="22"/>
                <w:szCs w:val="22"/>
              </w:rPr>
              <w:t xml:space="preserve"> component costs)</w:t>
            </w:r>
          </w:p>
          <w:p w14:paraId="73840C8F" w14:textId="77777777" w:rsidR="00AF533B" w:rsidRPr="00AF533B" w:rsidRDefault="00AF533B" w:rsidP="00AF533B">
            <w:pPr>
              <w:pStyle w:val="ListParagraph"/>
              <w:numPr>
                <w:ilvl w:val="0"/>
                <w:numId w:val="20"/>
              </w:numPr>
              <w:spacing w:after="200" w:line="276" w:lineRule="auto"/>
              <w:rPr>
                <w:rFonts w:ascii="Arial" w:hAnsi="Arial" w:cs="Arial"/>
                <w:sz w:val="22"/>
                <w:szCs w:val="22"/>
              </w:rPr>
            </w:pPr>
            <w:r w:rsidRPr="00AF533B">
              <w:rPr>
                <w:rFonts w:ascii="Arial" w:hAnsi="Arial" w:cs="Arial"/>
                <w:sz w:val="22"/>
                <w:szCs w:val="22"/>
              </w:rPr>
              <w:t>Tenant &amp; Resident Safety (</w:t>
            </w:r>
            <w:proofErr w:type="spellStart"/>
            <w:r w:rsidRPr="00AF533B">
              <w:rPr>
                <w:rFonts w:ascii="Arial" w:hAnsi="Arial" w:cs="Arial"/>
                <w:sz w:val="22"/>
                <w:szCs w:val="22"/>
              </w:rPr>
              <w:t>eg</w:t>
            </w:r>
            <w:proofErr w:type="spellEnd"/>
            <w:r w:rsidRPr="00AF533B">
              <w:rPr>
                <w:rFonts w:ascii="Arial" w:hAnsi="Arial" w:cs="Arial"/>
                <w:sz w:val="22"/>
                <w:szCs w:val="22"/>
              </w:rPr>
              <w:t xml:space="preserve"> risk ratings/ compliance costs)</w:t>
            </w:r>
            <w:r w:rsidRPr="00AF533B">
              <w:rPr>
                <w:rFonts w:ascii="Arial" w:hAnsi="Arial" w:cs="Arial"/>
                <w:sz w:val="22"/>
                <w:szCs w:val="22"/>
              </w:rPr>
              <w:tab/>
            </w:r>
          </w:p>
          <w:p w14:paraId="2BE2B83F" w14:textId="77777777" w:rsidR="00AF533B" w:rsidRPr="00AF533B" w:rsidRDefault="00AF533B" w:rsidP="00AF533B">
            <w:pPr>
              <w:pStyle w:val="ListParagraph"/>
              <w:numPr>
                <w:ilvl w:val="0"/>
                <w:numId w:val="20"/>
              </w:numPr>
              <w:spacing w:after="200" w:line="276" w:lineRule="auto"/>
              <w:rPr>
                <w:rFonts w:ascii="Arial" w:hAnsi="Arial" w:cs="Arial"/>
                <w:sz w:val="22"/>
                <w:szCs w:val="22"/>
              </w:rPr>
            </w:pPr>
            <w:r w:rsidRPr="00AF533B">
              <w:rPr>
                <w:rFonts w:ascii="Arial" w:hAnsi="Arial" w:cs="Arial"/>
                <w:sz w:val="22"/>
                <w:szCs w:val="22"/>
              </w:rPr>
              <w:t>Mixed Tenure Performance (</w:t>
            </w:r>
            <w:proofErr w:type="spellStart"/>
            <w:r w:rsidRPr="00AF533B">
              <w:rPr>
                <w:rFonts w:ascii="Arial" w:hAnsi="Arial" w:cs="Arial"/>
                <w:sz w:val="22"/>
                <w:szCs w:val="22"/>
              </w:rPr>
              <w:t>eg</w:t>
            </w:r>
            <w:proofErr w:type="spellEnd"/>
            <w:r w:rsidRPr="00AF533B">
              <w:rPr>
                <w:rFonts w:ascii="Arial" w:hAnsi="Arial" w:cs="Arial"/>
                <w:sz w:val="22"/>
                <w:szCs w:val="22"/>
              </w:rPr>
              <w:t xml:space="preserve"> minority ownership/ owner cost recovery)</w:t>
            </w:r>
          </w:p>
          <w:p w14:paraId="33C30AC0" w14:textId="77777777" w:rsidR="00AF533B" w:rsidRPr="00AF533B" w:rsidRDefault="00AF533B" w:rsidP="00AF533B">
            <w:pPr>
              <w:pStyle w:val="ListParagraph"/>
              <w:numPr>
                <w:ilvl w:val="0"/>
                <w:numId w:val="20"/>
              </w:numPr>
              <w:spacing w:after="200" w:line="276" w:lineRule="auto"/>
              <w:rPr>
                <w:rFonts w:ascii="Arial" w:hAnsi="Arial" w:cs="Arial"/>
                <w:sz w:val="22"/>
                <w:szCs w:val="22"/>
              </w:rPr>
            </w:pPr>
            <w:r w:rsidRPr="00AF533B">
              <w:rPr>
                <w:rFonts w:ascii="Arial" w:hAnsi="Arial" w:cs="Arial"/>
                <w:sz w:val="22"/>
                <w:szCs w:val="22"/>
              </w:rPr>
              <w:lastRenderedPageBreak/>
              <w:t>Service Performance (</w:t>
            </w:r>
            <w:proofErr w:type="spellStart"/>
            <w:r w:rsidRPr="00AF533B">
              <w:rPr>
                <w:rFonts w:ascii="Arial" w:hAnsi="Arial" w:cs="Arial"/>
                <w:sz w:val="22"/>
                <w:szCs w:val="22"/>
              </w:rPr>
              <w:t>eg</w:t>
            </w:r>
            <w:proofErr w:type="spellEnd"/>
            <w:r w:rsidRPr="00AF533B">
              <w:rPr>
                <w:rFonts w:ascii="Arial" w:hAnsi="Arial" w:cs="Arial"/>
                <w:sz w:val="22"/>
                <w:szCs w:val="22"/>
              </w:rPr>
              <w:t xml:space="preserve"> void rent loss/ management costs/ reactive/ cyclical costs)</w:t>
            </w:r>
          </w:p>
          <w:p w14:paraId="5C8034A0" w14:textId="77777777" w:rsidR="00AF533B" w:rsidRPr="00AF533B" w:rsidRDefault="00AF533B" w:rsidP="00AF533B">
            <w:pPr>
              <w:pStyle w:val="ListParagraph"/>
              <w:numPr>
                <w:ilvl w:val="0"/>
                <w:numId w:val="20"/>
              </w:numPr>
              <w:spacing w:after="200" w:line="276" w:lineRule="auto"/>
              <w:rPr>
                <w:rFonts w:ascii="Arial" w:hAnsi="Arial" w:cs="Arial"/>
                <w:sz w:val="22"/>
                <w:szCs w:val="22"/>
              </w:rPr>
            </w:pPr>
            <w:r w:rsidRPr="00AF533B">
              <w:rPr>
                <w:rFonts w:ascii="Arial" w:hAnsi="Arial" w:cs="Arial"/>
                <w:sz w:val="22"/>
                <w:szCs w:val="22"/>
              </w:rPr>
              <w:t>Financial Performance (</w:t>
            </w:r>
            <w:proofErr w:type="spellStart"/>
            <w:r w:rsidRPr="00AF533B">
              <w:rPr>
                <w:rFonts w:ascii="Arial" w:hAnsi="Arial" w:cs="Arial"/>
                <w:sz w:val="22"/>
                <w:szCs w:val="22"/>
              </w:rPr>
              <w:t>eg</w:t>
            </w:r>
            <w:proofErr w:type="spellEnd"/>
            <w:r w:rsidRPr="00AF533B">
              <w:rPr>
                <w:rFonts w:ascii="Arial" w:hAnsi="Arial" w:cs="Arial"/>
                <w:sz w:val="22"/>
                <w:szCs w:val="22"/>
              </w:rPr>
              <w:t xml:space="preserve"> NPV) </w:t>
            </w:r>
          </w:p>
          <w:p w14:paraId="3D6FC5E7" w14:textId="77777777" w:rsidR="00AF533B" w:rsidRPr="00AF533B" w:rsidRDefault="00AF533B" w:rsidP="00AF533B">
            <w:pPr>
              <w:pStyle w:val="ListParagraph"/>
              <w:numPr>
                <w:ilvl w:val="0"/>
                <w:numId w:val="20"/>
              </w:numPr>
              <w:spacing w:after="200" w:line="276" w:lineRule="auto"/>
              <w:rPr>
                <w:rFonts w:ascii="Arial" w:hAnsi="Arial" w:cs="Arial"/>
                <w:sz w:val="22"/>
                <w:szCs w:val="22"/>
              </w:rPr>
            </w:pPr>
            <w:r w:rsidRPr="00AF533B">
              <w:rPr>
                <w:rFonts w:ascii="Arial" w:hAnsi="Arial" w:cs="Arial"/>
                <w:sz w:val="22"/>
                <w:szCs w:val="22"/>
              </w:rPr>
              <w:t>Customer Performance (</w:t>
            </w:r>
            <w:proofErr w:type="spellStart"/>
            <w:r w:rsidRPr="00AF533B">
              <w:rPr>
                <w:rFonts w:ascii="Arial" w:hAnsi="Arial" w:cs="Arial"/>
                <w:sz w:val="22"/>
                <w:szCs w:val="22"/>
              </w:rPr>
              <w:t>eg</w:t>
            </w:r>
            <w:proofErr w:type="spellEnd"/>
            <w:r w:rsidRPr="00AF533B">
              <w:rPr>
                <w:rFonts w:ascii="Arial" w:hAnsi="Arial" w:cs="Arial"/>
                <w:sz w:val="22"/>
                <w:szCs w:val="22"/>
              </w:rPr>
              <w:t xml:space="preserve"> turnover/ demand/ accessibility/ satisfaction rating)</w:t>
            </w:r>
          </w:p>
          <w:p w14:paraId="0407F85A" w14:textId="77777777" w:rsidR="00AF533B" w:rsidRPr="00AF533B" w:rsidRDefault="00AF533B" w:rsidP="00AF533B">
            <w:pPr>
              <w:pStyle w:val="ListParagraph"/>
              <w:numPr>
                <w:ilvl w:val="0"/>
                <w:numId w:val="20"/>
              </w:numPr>
              <w:spacing w:after="200" w:line="276" w:lineRule="auto"/>
              <w:rPr>
                <w:rFonts w:ascii="Arial" w:hAnsi="Arial" w:cs="Arial"/>
                <w:sz w:val="22"/>
                <w:szCs w:val="22"/>
              </w:rPr>
            </w:pPr>
            <w:r w:rsidRPr="00AF533B">
              <w:rPr>
                <w:rFonts w:ascii="Arial" w:hAnsi="Arial" w:cs="Arial"/>
                <w:sz w:val="22"/>
                <w:szCs w:val="22"/>
              </w:rPr>
              <w:t>Place Performance (</w:t>
            </w:r>
            <w:proofErr w:type="spellStart"/>
            <w:r w:rsidRPr="00AF533B">
              <w:rPr>
                <w:rFonts w:ascii="Arial" w:hAnsi="Arial" w:cs="Arial"/>
                <w:sz w:val="22"/>
                <w:szCs w:val="22"/>
              </w:rPr>
              <w:t>eg</w:t>
            </w:r>
            <w:proofErr w:type="spellEnd"/>
            <w:r w:rsidRPr="00AF533B">
              <w:rPr>
                <w:rFonts w:ascii="Arial" w:hAnsi="Arial" w:cs="Arial"/>
                <w:sz w:val="22"/>
                <w:szCs w:val="22"/>
              </w:rPr>
              <w:t xml:space="preserve"> environmental costs/PLACE standard)</w:t>
            </w:r>
          </w:p>
          <w:p w14:paraId="40CF4879" w14:textId="058FA233" w:rsidR="00AF533B" w:rsidRPr="00AF533B" w:rsidRDefault="00AF533B" w:rsidP="00AF533B">
            <w:pPr>
              <w:pStyle w:val="ListParagraph"/>
              <w:numPr>
                <w:ilvl w:val="0"/>
                <w:numId w:val="20"/>
              </w:numPr>
              <w:spacing w:after="200" w:line="276" w:lineRule="auto"/>
              <w:rPr>
                <w:rFonts w:ascii="Arial" w:hAnsi="Arial" w:cs="Arial"/>
                <w:sz w:val="22"/>
                <w:szCs w:val="22"/>
              </w:rPr>
            </w:pPr>
            <w:r w:rsidRPr="00AF533B">
              <w:rPr>
                <w:rFonts w:ascii="Arial" w:hAnsi="Arial" w:cs="Arial"/>
                <w:sz w:val="22"/>
                <w:szCs w:val="22"/>
              </w:rPr>
              <w:t>Energy P</w:t>
            </w:r>
            <w:r w:rsidR="00395CB7">
              <w:rPr>
                <w:rFonts w:ascii="Arial" w:hAnsi="Arial" w:cs="Arial"/>
                <w:sz w:val="22"/>
                <w:szCs w:val="22"/>
              </w:rPr>
              <w:t>e</w:t>
            </w:r>
            <w:r w:rsidRPr="00AF533B">
              <w:rPr>
                <w:rFonts w:ascii="Arial" w:hAnsi="Arial" w:cs="Arial"/>
                <w:sz w:val="22"/>
                <w:szCs w:val="22"/>
              </w:rPr>
              <w:t>rformance (</w:t>
            </w:r>
            <w:proofErr w:type="spellStart"/>
            <w:r w:rsidRPr="00AF533B">
              <w:rPr>
                <w:rFonts w:ascii="Arial" w:hAnsi="Arial" w:cs="Arial"/>
                <w:sz w:val="22"/>
                <w:szCs w:val="22"/>
              </w:rPr>
              <w:t>eg</w:t>
            </w:r>
            <w:proofErr w:type="spellEnd"/>
            <w:r w:rsidRPr="00AF533B">
              <w:rPr>
                <w:rFonts w:ascii="Arial" w:hAnsi="Arial" w:cs="Arial"/>
                <w:sz w:val="22"/>
                <w:szCs w:val="22"/>
              </w:rPr>
              <w:t xml:space="preserve"> EPC rating/ heating system/ net zero costs)</w:t>
            </w:r>
          </w:p>
          <w:p w14:paraId="65A5D6BD" w14:textId="2C2A44EE" w:rsidR="001D1769" w:rsidRDefault="001D1769" w:rsidP="00395CB7"/>
        </w:tc>
        <w:tc>
          <w:tcPr>
            <w:tcW w:w="1230" w:type="dxa"/>
          </w:tcPr>
          <w:p w14:paraId="262BEBA0" w14:textId="77777777" w:rsidR="00077603" w:rsidRPr="00D609A2" w:rsidRDefault="00077603" w:rsidP="005072D5">
            <w:pPr>
              <w:jc w:val="center"/>
            </w:pPr>
          </w:p>
        </w:tc>
      </w:tr>
      <w:tr w:rsidR="00AF533B" w:rsidRPr="00D609A2" w14:paraId="14881109" w14:textId="77777777" w:rsidTr="00695E1C">
        <w:tc>
          <w:tcPr>
            <w:tcW w:w="827" w:type="dxa"/>
          </w:tcPr>
          <w:p w14:paraId="70A2BC5A" w14:textId="7AA1719D" w:rsidR="00AF533B" w:rsidRDefault="00AF533B" w:rsidP="005072D5">
            <w:r>
              <w:t>6.</w:t>
            </w:r>
            <w:r w:rsidR="00395CB7">
              <w:t>4</w:t>
            </w:r>
          </w:p>
        </w:tc>
        <w:tc>
          <w:tcPr>
            <w:tcW w:w="8671" w:type="dxa"/>
          </w:tcPr>
          <w:p w14:paraId="4F81A281" w14:textId="671F3651" w:rsidR="00AF533B" w:rsidRDefault="00AF533B" w:rsidP="00AF533B">
            <w:pPr>
              <w:contextualSpacing/>
              <w:jc w:val="both"/>
            </w:pPr>
            <w:r>
              <w:t xml:space="preserve">The </w:t>
            </w:r>
            <w:r w:rsidR="00395CB7">
              <w:t xml:space="preserve">Board noted </w:t>
            </w:r>
            <w:r>
              <w:t>the pivotal role that technology will have in the service delivery in the future. To ensure that an enhanced service delivery results from this technology, a Strategic Systems Group has been established. This cross-department group will look at all aspects of technology and their role in assisting in delivering our operational objectives.</w:t>
            </w:r>
            <w:r w:rsidR="00A003F1">
              <w:t xml:space="preserve">  The main areas to be investigated were noted on page 21 of the draft </w:t>
            </w:r>
            <w:r w:rsidR="00395CB7">
              <w:t>Asset Management Strategy</w:t>
            </w:r>
            <w:r w:rsidR="00A003F1">
              <w:t xml:space="preserve">.  </w:t>
            </w:r>
          </w:p>
          <w:p w14:paraId="2E20A994" w14:textId="77777777" w:rsidR="00AF533B" w:rsidRDefault="00AF533B" w:rsidP="00FE1131"/>
        </w:tc>
        <w:tc>
          <w:tcPr>
            <w:tcW w:w="1230" w:type="dxa"/>
          </w:tcPr>
          <w:p w14:paraId="3616675C" w14:textId="77777777" w:rsidR="00AF533B" w:rsidRPr="00D609A2" w:rsidRDefault="00AF533B" w:rsidP="005072D5">
            <w:pPr>
              <w:jc w:val="center"/>
            </w:pPr>
          </w:p>
        </w:tc>
      </w:tr>
      <w:tr w:rsidR="00645F0D" w:rsidRPr="00D609A2" w14:paraId="342CE173" w14:textId="77777777" w:rsidTr="00695E1C">
        <w:tc>
          <w:tcPr>
            <w:tcW w:w="827" w:type="dxa"/>
          </w:tcPr>
          <w:p w14:paraId="6F714485" w14:textId="7B1C4F9C" w:rsidR="00645F0D" w:rsidRDefault="00645F0D" w:rsidP="005072D5">
            <w:r>
              <w:t>6.</w:t>
            </w:r>
            <w:r w:rsidR="00395CB7">
              <w:t>5</w:t>
            </w:r>
          </w:p>
        </w:tc>
        <w:tc>
          <w:tcPr>
            <w:tcW w:w="8671" w:type="dxa"/>
          </w:tcPr>
          <w:p w14:paraId="32FB2E2E" w14:textId="5BC17712" w:rsidR="00645F0D" w:rsidRPr="005D51ED" w:rsidRDefault="00645F0D" w:rsidP="00645F0D">
            <w:pPr>
              <w:jc w:val="both"/>
            </w:pPr>
            <w:r w:rsidRPr="005D51ED">
              <w:t>At the time of writing this strategy, the anticipated future energy efficiency standard for social housing, called Social Housing Net Zero Standard (SHNZS), has still to be issued</w:t>
            </w:r>
            <w:r>
              <w:t xml:space="preserve"> therefore we are currently unsure on the standards required to meet.  </w:t>
            </w:r>
            <w:r w:rsidRPr="005D51ED">
              <w:t xml:space="preserve"> </w:t>
            </w:r>
          </w:p>
          <w:p w14:paraId="675E84C5" w14:textId="77777777" w:rsidR="00645F0D" w:rsidRDefault="00645F0D" w:rsidP="00FE1131"/>
        </w:tc>
        <w:tc>
          <w:tcPr>
            <w:tcW w:w="1230" w:type="dxa"/>
          </w:tcPr>
          <w:p w14:paraId="30186D7B" w14:textId="77777777" w:rsidR="00645F0D" w:rsidRPr="00D609A2" w:rsidRDefault="00645F0D" w:rsidP="005072D5">
            <w:pPr>
              <w:jc w:val="center"/>
            </w:pPr>
          </w:p>
        </w:tc>
      </w:tr>
      <w:tr w:rsidR="00155988" w:rsidRPr="00D609A2" w14:paraId="16F70D88" w14:textId="77777777" w:rsidTr="00695E1C">
        <w:tc>
          <w:tcPr>
            <w:tcW w:w="827" w:type="dxa"/>
          </w:tcPr>
          <w:p w14:paraId="6722F8E8" w14:textId="51D9A67D" w:rsidR="00155988" w:rsidRDefault="00395CB7" w:rsidP="005072D5">
            <w:r>
              <w:t>6.6</w:t>
            </w:r>
          </w:p>
        </w:tc>
        <w:tc>
          <w:tcPr>
            <w:tcW w:w="8671" w:type="dxa"/>
          </w:tcPr>
          <w:p w14:paraId="092332AE" w14:textId="71D9EAA3" w:rsidR="00155988" w:rsidRDefault="004D7B09" w:rsidP="00FE1131">
            <w:r>
              <w:t xml:space="preserve">The Board </w:t>
            </w:r>
            <w:r w:rsidR="00395CB7">
              <w:t xml:space="preserve">noted that work is being carried out  </w:t>
            </w:r>
            <w:r>
              <w:t xml:space="preserve"> to understand how the </w:t>
            </w:r>
            <w:r w:rsidR="00395CB7">
              <w:t xml:space="preserve">communal </w:t>
            </w:r>
            <w:r>
              <w:t xml:space="preserve">systems </w:t>
            </w:r>
            <w:r w:rsidR="00395CB7">
              <w:t>work and prepare for the future</w:t>
            </w:r>
            <w:r>
              <w:t xml:space="preserve">.    </w:t>
            </w:r>
          </w:p>
          <w:p w14:paraId="43B3D61D" w14:textId="328F3416" w:rsidR="00155988" w:rsidRDefault="00155988" w:rsidP="00FE1131"/>
        </w:tc>
        <w:tc>
          <w:tcPr>
            <w:tcW w:w="1230" w:type="dxa"/>
          </w:tcPr>
          <w:p w14:paraId="6529FDB6" w14:textId="77777777" w:rsidR="00155988" w:rsidRPr="00D609A2" w:rsidRDefault="00155988" w:rsidP="005072D5">
            <w:pPr>
              <w:jc w:val="center"/>
            </w:pPr>
          </w:p>
        </w:tc>
      </w:tr>
      <w:tr w:rsidR="005072D5" w:rsidRPr="00D609A2" w14:paraId="2B0091CE" w14:textId="77777777" w:rsidTr="00695E1C">
        <w:tc>
          <w:tcPr>
            <w:tcW w:w="827" w:type="dxa"/>
          </w:tcPr>
          <w:p w14:paraId="1A08FB6A" w14:textId="49B689FB" w:rsidR="005072D5" w:rsidRDefault="005072D5" w:rsidP="005072D5">
            <w:r>
              <w:rPr>
                <w:rFonts w:ascii="Arial Bold" w:hAnsi="Arial Bold"/>
                <w:b/>
              </w:rPr>
              <w:t>7.0</w:t>
            </w:r>
          </w:p>
        </w:tc>
        <w:tc>
          <w:tcPr>
            <w:tcW w:w="8671" w:type="dxa"/>
          </w:tcPr>
          <w:p w14:paraId="137572D8" w14:textId="45C09032" w:rsidR="005072D5" w:rsidRDefault="004506EF" w:rsidP="005072D5">
            <w:pPr>
              <w:pStyle w:val="Heading1"/>
            </w:pPr>
            <w:r>
              <w:t>LETTING PLAN 2025/2026 AND ALLOCATIONS OUTCOMES 2024/2025</w:t>
            </w:r>
          </w:p>
          <w:p w14:paraId="65A1D611" w14:textId="77777777" w:rsidR="005072D5" w:rsidRDefault="005072D5" w:rsidP="005072D5">
            <w:pPr>
              <w:pStyle w:val="Heading1"/>
            </w:pPr>
          </w:p>
        </w:tc>
        <w:tc>
          <w:tcPr>
            <w:tcW w:w="1230" w:type="dxa"/>
          </w:tcPr>
          <w:p w14:paraId="0C9E2BBC" w14:textId="77777777" w:rsidR="005072D5" w:rsidRPr="00D609A2" w:rsidRDefault="005072D5" w:rsidP="005072D5">
            <w:pPr>
              <w:jc w:val="center"/>
            </w:pPr>
          </w:p>
        </w:tc>
      </w:tr>
      <w:tr w:rsidR="001F749D" w:rsidRPr="00D609A2" w14:paraId="36D02AA5" w14:textId="77777777" w:rsidTr="00695E1C">
        <w:tc>
          <w:tcPr>
            <w:tcW w:w="827" w:type="dxa"/>
          </w:tcPr>
          <w:p w14:paraId="618919F9" w14:textId="345B3566" w:rsidR="001F749D" w:rsidRDefault="001F749D" w:rsidP="005072D5">
            <w:r>
              <w:t>7.1</w:t>
            </w:r>
          </w:p>
        </w:tc>
        <w:tc>
          <w:tcPr>
            <w:tcW w:w="8671" w:type="dxa"/>
          </w:tcPr>
          <w:p w14:paraId="05A72BE5" w14:textId="77777777" w:rsidR="001F749D" w:rsidRDefault="001F749D" w:rsidP="005072D5">
            <w:pPr>
              <w:pStyle w:val="Heading1"/>
              <w:rPr>
                <w:b w:val="0"/>
                <w:bCs w:val="0"/>
                <w:u w:val="none"/>
              </w:rPr>
            </w:pPr>
            <w:r>
              <w:rPr>
                <w:b w:val="0"/>
                <w:bCs w:val="0"/>
                <w:u w:val="none"/>
              </w:rPr>
              <w:t xml:space="preserve">The purpose of this report was for the Board to approve the letting plan for 2025/26 and note the allocation outcomes for 2024/25.  This report was presented by Elizabeth Hood, </w:t>
            </w:r>
            <w:proofErr w:type="spellStart"/>
            <w:r>
              <w:rPr>
                <w:b w:val="0"/>
                <w:bCs w:val="0"/>
                <w:u w:val="none"/>
              </w:rPr>
              <w:t>Depute</w:t>
            </w:r>
            <w:proofErr w:type="spellEnd"/>
            <w:r>
              <w:rPr>
                <w:b w:val="0"/>
                <w:bCs w:val="0"/>
                <w:u w:val="none"/>
              </w:rPr>
              <w:t xml:space="preserve"> Director.  </w:t>
            </w:r>
          </w:p>
          <w:p w14:paraId="63B64823" w14:textId="1FF0665B" w:rsidR="001F749D" w:rsidRPr="001F749D" w:rsidRDefault="001F749D" w:rsidP="001F749D"/>
        </w:tc>
        <w:tc>
          <w:tcPr>
            <w:tcW w:w="1230" w:type="dxa"/>
          </w:tcPr>
          <w:p w14:paraId="62FA4905" w14:textId="77777777" w:rsidR="001F749D" w:rsidRPr="00D609A2" w:rsidRDefault="001F749D" w:rsidP="005072D5">
            <w:pPr>
              <w:jc w:val="center"/>
            </w:pPr>
          </w:p>
        </w:tc>
      </w:tr>
      <w:tr w:rsidR="00431CC1" w:rsidRPr="00D609A2" w14:paraId="328AE86F" w14:textId="77777777" w:rsidTr="00695E1C">
        <w:tc>
          <w:tcPr>
            <w:tcW w:w="827" w:type="dxa"/>
          </w:tcPr>
          <w:p w14:paraId="6ED26A71" w14:textId="0EBA5C17" w:rsidR="00431CC1" w:rsidRDefault="00431CC1" w:rsidP="005072D5">
            <w:r>
              <w:t>7.2</w:t>
            </w:r>
          </w:p>
        </w:tc>
        <w:tc>
          <w:tcPr>
            <w:tcW w:w="8671" w:type="dxa"/>
          </w:tcPr>
          <w:p w14:paraId="6A7B9915" w14:textId="09178423" w:rsidR="00431CC1" w:rsidRDefault="00395CB7" w:rsidP="005072D5">
            <w:pPr>
              <w:pStyle w:val="Heading1"/>
              <w:rPr>
                <w:b w:val="0"/>
                <w:bCs w:val="0"/>
                <w:u w:val="none"/>
              </w:rPr>
            </w:pPr>
            <w:r>
              <w:rPr>
                <w:b w:val="0"/>
                <w:bCs w:val="0"/>
                <w:u w:val="none"/>
              </w:rPr>
              <w:t>The Board discussed section</w:t>
            </w:r>
            <w:r w:rsidR="00431CC1">
              <w:rPr>
                <w:b w:val="0"/>
                <w:bCs w:val="0"/>
                <w:u w:val="none"/>
              </w:rPr>
              <w:t xml:space="preserve"> 3 of th</w:t>
            </w:r>
            <w:r>
              <w:rPr>
                <w:b w:val="0"/>
                <w:bCs w:val="0"/>
                <w:u w:val="none"/>
              </w:rPr>
              <w:t>e</w:t>
            </w:r>
            <w:r w:rsidR="00431CC1">
              <w:rPr>
                <w:b w:val="0"/>
                <w:bCs w:val="0"/>
                <w:u w:val="none"/>
              </w:rPr>
              <w:t xml:space="preserve"> report </w:t>
            </w:r>
            <w:r>
              <w:rPr>
                <w:b w:val="0"/>
                <w:bCs w:val="0"/>
                <w:u w:val="none"/>
              </w:rPr>
              <w:t xml:space="preserve">which detailed </w:t>
            </w:r>
            <w:r w:rsidR="00431CC1">
              <w:rPr>
                <w:b w:val="0"/>
                <w:bCs w:val="0"/>
                <w:u w:val="none"/>
              </w:rPr>
              <w:t xml:space="preserve">the allocations outcomes for 2024/2025.  </w:t>
            </w:r>
            <w:r w:rsidR="00A2398C">
              <w:rPr>
                <w:b w:val="0"/>
                <w:bCs w:val="0"/>
                <w:u w:val="none"/>
              </w:rPr>
              <w:t xml:space="preserve">3.1 detailed the key outcomes for the last year.   The Board noted </w:t>
            </w:r>
            <w:r w:rsidR="00A2398C" w:rsidRPr="00A2398C">
              <w:rPr>
                <w:b w:val="0"/>
                <w:bCs w:val="0"/>
                <w:u w:val="none"/>
              </w:rPr>
              <w:t>on 31</w:t>
            </w:r>
            <w:r w:rsidR="00A2398C" w:rsidRPr="00A2398C">
              <w:rPr>
                <w:b w:val="0"/>
                <w:bCs w:val="0"/>
                <w:u w:val="none"/>
                <w:vertAlign w:val="superscript"/>
              </w:rPr>
              <w:t>st</w:t>
            </w:r>
            <w:r w:rsidR="00A2398C" w:rsidRPr="00A2398C">
              <w:rPr>
                <w:b w:val="0"/>
                <w:bCs w:val="0"/>
                <w:u w:val="none"/>
              </w:rPr>
              <w:t xml:space="preserve"> March 2025, there were 7,223 live applicants on Find My Home, an increase of 1,832 since 31</w:t>
            </w:r>
            <w:r w:rsidR="00A2398C" w:rsidRPr="00A2398C">
              <w:rPr>
                <w:b w:val="0"/>
                <w:bCs w:val="0"/>
                <w:u w:val="none"/>
                <w:vertAlign w:val="superscript"/>
              </w:rPr>
              <w:t>st</w:t>
            </w:r>
            <w:r w:rsidR="00A2398C" w:rsidRPr="00A2398C">
              <w:rPr>
                <w:b w:val="0"/>
                <w:bCs w:val="0"/>
                <w:u w:val="none"/>
              </w:rPr>
              <w:t xml:space="preserve"> March 2024.  </w:t>
            </w:r>
            <w:r>
              <w:rPr>
                <w:b w:val="0"/>
                <w:bCs w:val="0"/>
                <w:u w:val="none"/>
              </w:rPr>
              <w:t>A</w:t>
            </w:r>
            <w:r w:rsidR="00A2398C" w:rsidRPr="00A2398C">
              <w:rPr>
                <w:b w:val="0"/>
                <w:bCs w:val="0"/>
                <w:u w:val="none"/>
              </w:rPr>
              <w:t>n average of 35 new applications every week, compared to an average of 30 per week last year. The demand for social housing continues to increase rapidly and we had lower turnover in 24/25 than the year before, meaning that we are able to house a lower proportion of our applicants</w:t>
            </w:r>
            <w:r w:rsidR="00A2398C">
              <w:rPr>
                <w:b w:val="0"/>
                <w:bCs w:val="0"/>
                <w:u w:val="none"/>
              </w:rPr>
              <w:t xml:space="preserve">.  Although turnover is lower than anticipated this is in line with peers within the sector.  </w:t>
            </w:r>
          </w:p>
          <w:p w14:paraId="194A6737" w14:textId="4E24A9CB" w:rsidR="00A2398C" w:rsidRPr="00A2398C" w:rsidRDefault="00A2398C" w:rsidP="00A2398C"/>
        </w:tc>
        <w:tc>
          <w:tcPr>
            <w:tcW w:w="1230" w:type="dxa"/>
          </w:tcPr>
          <w:p w14:paraId="56666DB0" w14:textId="77777777" w:rsidR="00431CC1" w:rsidRPr="00D609A2" w:rsidRDefault="00431CC1" w:rsidP="005072D5">
            <w:pPr>
              <w:jc w:val="center"/>
            </w:pPr>
          </w:p>
        </w:tc>
      </w:tr>
      <w:tr w:rsidR="00970C6B" w:rsidRPr="00D609A2" w14:paraId="0928180F" w14:textId="77777777" w:rsidTr="00695E1C">
        <w:tc>
          <w:tcPr>
            <w:tcW w:w="827" w:type="dxa"/>
          </w:tcPr>
          <w:p w14:paraId="2325912C" w14:textId="4033B672" w:rsidR="00970C6B" w:rsidRDefault="00970C6B" w:rsidP="005072D5">
            <w:r>
              <w:t>7.3</w:t>
            </w:r>
          </w:p>
        </w:tc>
        <w:tc>
          <w:tcPr>
            <w:tcW w:w="8671" w:type="dxa"/>
          </w:tcPr>
          <w:p w14:paraId="276727B1" w14:textId="6D7B8EF7" w:rsidR="00970C6B" w:rsidRDefault="00970C6B" w:rsidP="00395CB7">
            <w:pPr>
              <w:pStyle w:val="Header"/>
              <w:tabs>
                <w:tab w:val="clear" w:pos="4153"/>
                <w:tab w:val="clear" w:pos="8306"/>
              </w:tabs>
            </w:pPr>
            <w:r>
              <w:t xml:space="preserve">Section 4 laid out the lettings plan for 2025/2026.  Glasgow </w:t>
            </w:r>
            <w:r w:rsidR="00DF04DA">
              <w:t xml:space="preserve">City </w:t>
            </w:r>
            <w:r>
              <w:t xml:space="preserve">Council have yet to </w:t>
            </w:r>
            <w:r w:rsidR="00395CB7">
              <w:t xml:space="preserve">give notice </w:t>
            </w:r>
            <w:r>
              <w:t xml:space="preserve">of the percentage of lets </w:t>
            </w:r>
            <w:r w:rsidR="00395CB7">
              <w:t>for</w:t>
            </w:r>
            <w:r>
              <w:t xml:space="preserve"> Section Five referrals this year.  We anticipate that they will request a similar or higher figure from last year.  </w:t>
            </w:r>
          </w:p>
          <w:p w14:paraId="733F08A4" w14:textId="403E01D8" w:rsidR="00395CB7" w:rsidRDefault="00395CB7" w:rsidP="00395CB7">
            <w:pPr>
              <w:pStyle w:val="Header"/>
              <w:tabs>
                <w:tab w:val="clear" w:pos="4153"/>
                <w:tab w:val="clear" w:pos="8306"/>
              </w:tabs>
            </w:pPr>
          </w:p>
        </w:tc>
        <w:tc>
          <w:tcPr>
            <w:tcW w:w="1230" w:type="dxa"/>
          </w:tcPr>
          <w:p w14:paraId="543B7C9B" w14:textId="77777777" w:rsidR="00970C6B" w:rsidRPr="00D609A2" w:rsidRDefault="00970C6B" w:rsidP="005072D5">
            <w:pPr>
              <w:jc w:val="center"/>
            </w:pPr>
          </w:p>
        </w:tc>
      </w:tr>
      <w:tr w:rsidR="001633A0" w:rsidRPr="00D609A2" w14:paraId="4294CFB9" w14:textId="77777777" w:rsidTr="00695E1C">
        <w:tc>
          <w:tcPr>
            <w:tcW w:w="827" w:type="dxa"/>
          </w:tcPr>
          <w:p w14:paraId="784230FF" w14:textId="311339C4" w:rsidR="001633A0" w:rsidRDefault="001633A0" w:rsidP="005072D5">
            <w:r>
              <w:t>7.4</w:t>
            </w:r>
          </w:p>
        </w:tc>
        <w:tc>
          <w:tcPr>
            <w:tcW w:w="8671" w:type="dxa"/>
          </w:tcPr>
          <w:p w14:paraId="51434363" w14:textId="2194ECFE" w:rsidR="001633A0" w:rsidRDefault="001633A0" w:rsidP="0071493D">
            <w:r>
              <w:t>The Board considered th</w:t>
            </w:r>
            <w:r w:rsidR="00395CB7">
              <w:t>e</w:t>
            </w:r>
            <w:r>
              <w:t xml:space="preserve"> report and approved the letting plan for 2025/2026.  </w:t>
            </w:r>
          </w:p>
          <w:p w14:paraId="1E5EAA10" w14:textId="1ED37511" w:rsidR="001633A0" w:rsidRDefault="001633A0" w:rsidP="0071493D"/>
        </w:tc>
        <w:tc>
          <w:tcPr>
            <w:tcW w:w="1230" w:type="dxa"/>
          </w:tcPr>
          <w:p w14:paraId="30AEF25E" w14:textId="77777777" w:rsidR="001633A0" w:rsidRPr="00D609A2" w:rsidRDefault="001633A0" w:rsidP="005072D5">
            <w:pPr>
              <w:jc w:val="center"/>
            </w:pPr>
          </w:p>
        </w:tc>
      </w:tr>
      <w:tr w:rsidR="005072D5" w:rsidRPr="00D609A2" w14:paraId="45E05B17" w14:textId="77777777" w:rsidTr="00695E1C">
        <w:tc>
          <w:tcPr>
            <w:tcW w:w="827" w:type="dxa"/>
          </w:tcPr>
          <w:p w14:paraId="65647B16" w14:textId="00C154D6" w:rsidR="005072D5" w:rsidRDefault="005072D5" w:rsidP="005072D5">
            <w:r>
              <w:rPr>
                <w:rFonts w:ascii="Arial Bold" w:hAnsi="Arial Bold"/>
                <w:b/>
              </w:rPr>
              <w:t>8.0</w:t>
            </w:r>
          </w:p>
        </w:tc>
        <w:tc>
          <w:tcPr>
            <w:tcW w:w="8671" w:type="dxa"/>
          </w:tcPr>
          <w:p w14:paraId="04A53B18" w14:textId="57C52038" w:rsidR="005072D5" w:rsidRDefault="004506EF" w:rsidP="005072D5">
            <w:pPr>
              <w:pStyle w:val="Heading1"/>
            </w:pPr>
            <w:r>
              <w:t xml:space="preserve">ASSURANCE REVIEW OF INTERNAL AUDIT </w:t>
            </w:r>
          </w:p>
          <w:p w14:paraId="5AD2E6AA" w14:textId="77777777" w:rsidR="005072D5" w:rsidRDefault="005072D5" w:rsidP="005072D5">
            <w:pPr>
              <w:pStyle w:val="Heading1"/>
            </w:pPr>
          </w:p>
        </w:tc>
        <w:tc>
          <w:tcPr>
            <w:tcW w:w="1230" w:type="dxa"/>
          </w:tcPr>
          <w:p w14:paraId="67E7E245" w14:textId="77777777" w:rsidR="005072D5" w:rsidRPr="00D609A2" w:rsidRDefault="005072D5" w:rsidP="005072D5">
            <w:pPr>
              <w:jc w:val="center"/>
            </w:pPr>
          </w:p>
        </w:tc>
      </w:tr>
      <w:tr w:rsidR="00E620A9" w:rsidRPr="00D609A2" w14:paraId="4F81090A" w14:textId="77777777" w:rsidTr="00695E1C">
        <w:tc>
          <w:tcPr>
            <w:tcW w:w="827" w:type="dxa"/>
          </w:tcPr>
          <w:p w14:paraId="510B6EB9" w14:textId="1365BE84" w:rsidR="00E620A9" w:rsidRDefault="00E620A9" w:rsidP="005072D5">
            <w:r>
              <w:t>8.1</w:t>
            </w:r>
          </w:p>
        </w:tc>
        <w:tc>
          <w:tcPr>
            <w:tcW w:w="8671" w:type="dxa"/>
          </w:tcPr>
          <w:p w14:paraId="6E93B1ED" w14:textId="6A300C36" w:rsidR="00E620A9" w:rsidRDefault="00E620A9" w:rsidP="005072D5">
            <w:pPr>
              <w:pStyle w:val="Heading1"/>
              <w:rPr>
                <w:b w:val="0"/>
                <w:bCs w:val="0"/>
                <w:u w:val="none"/>
              </w:rPr>
            </w:pPr>
            <w:r>
              <w:rPr>
                <w:b w:val="0"/>
                <w:bCs w:val="0"/>
                <w:u w:val="none"/>
              </w:rPr>
              <w:t xml:space="preserve">The purpose of this report </w:t>
            </w:r>
            <w:r w:rsidR="007B5030">
              <w:rPr>
                <w:b w:val="0"/>
                <w:bCs w:val="0"/>
                <w:u w:val="none"/>
              </w:rPr>
              <w:t xml:space="preserve">was for the </w:t>
            </w:r>
            <w:r w:rsidR="007B5030" w:rsidRPr="007B5030">
              <w:rPr>
                <w:rFonts w:eastAsia="Calibri"/>
                <w:b w:val="0"/>
                <w:bCs w:val="0"/>
                <w:u w:val="none"/>
              </w:rPr>
              <w:t>board to seek assurance on the current Internal Audit Function as part of its agreed approach to reviewing and demonstrating compliance with the Scottish Housing Regulator’s (SHR) Regulatory Standards.</w:t>
            </w:r>
            <w:r w:rsidR="007B5030" w:rsidRPr="007B5030">
              <w:rPr>
                <w:b w:val="0"/>
                <w:bCs w:val="0"/>
                <w:u w:val="none"/>
              </w:rPr>
              <w:t xml:space="preserve"> (January 2023)</w:t>
            </w:r>
            <w:r w:rsidR="007B5030">
              <w:rPr>
                <w:b w:val="0"/>
                <w:bCs w:val="0"/>
                <w:u w:val="none"/>
              </w:rPr>
              <w:t xml:space="preserve">. </w:t>
            </w:r>
            <w:r w:rsidR="00B5732E">
              <w:rPr>
                <w:b w:val="0"/>
                <w:bCs w:val="0"/>
                <w:u w:val="none"/>
              </w:rPr>
              <w:t xml:space="preserve">This discussion was led by Neil Manley, Director of Finance &amp; Corporate Support.  </w:t>
            </w:r>
          </w:p>
          <w:p w14:paraId="3EA39F26" w14:textId="3FDEC16F" w:rsidR="007B5030" w:rsidRPr="007B5030" w:rsidRDefault="007B5030" w:rsidP="007B5030"/>
        </w:tc>
        <w:tc>
          <w:tcPr>
            <w:tcW w:w="1230" w:type="dxa"/>
          </w:tcPr>
          <w:p w14:paraId="261D5CE2" w14:textId="77777777" w:rsidR="00E620A9" w:rsidRPr="00D609A2" w:rsidRDefault="00E620A9" w:rsidP="005072D5">
            <w:pPr>
              <w:jc w:val="center"/>
            </w:pPr>
          </w:p>
        </w:tc>
      </w:tr>
      <w:tr w:rsidR="00B9514D" w:rsidRPr="00D609A2" w14:paraId="00B5A9A2" w14:textId="77777777" w:rsidTr="00695E1C">
        <w:tc>
          <w:tcPr>
            <w:tcW w:w="827" w:type="dxa"/>
          </w:tcPr>
          <w:p w14:paraId="19CC363C" w14:textId="1FEC5E0A" w:rsidR="00B9514D" w:rsidRDefault="00B9514D" w:rsidP="005072D5">
            <w:r>
              <w:t>8.2</w:t>
            </w:r>
          </w:p>
        </w:tc>
        <w:tc>
          <w:tcPr>
            <w:tcW w:w="8671" w:type="dxa"/>
          </w:tcPr>
          <w:p w14:paraId="53B4526B" w14:textId="7AEC54F0" w:rsidR="00F97F59" w:rsidRDefault="00F97F59" w:rsidP="005072D5">
            <w:pPr>
              <w:pStyle w:val="Heading1"/>
              <w:rPr>
                <w:b w:val="0"/>
                <w:bCs w:val="0"/>
                <w:u w:val="none"/>
              </w:rPr>
            </w:pPr>
            <w:r>
              <w:rPr>
                <w:b w:val="0"/>
                <w:bCs w:val="0"/>
                <w:u w:val="none"/>
              </w:rPr>
              <w:t>The question for the Boards was do they feel that they get sufficient assurance as a board?</w:t>
            </w:r>
          </w:p>
          <w:p w14:paraId="4A496766" w14:textId="4143738A" w:rsidR="00B9514D" w:rsidRDefault="00F97F59" w:rsidP="005072D5">
            <w:pPr>
              <w:pStyle w:val="Heading1"/>
              <w:rPr>
                <w:b w:val="0"/>
                <w:bCs w:val="0"/>
                <w:u w:val="none"/>
              </w:rPr>
            </w:pPr>
            <w:r>
              <w:rPr>
                <w:b w:val="0"/>
                <w:bCs w:val="0"/>
                <w:u w:val="none"/>
              </w:rPr>
              <w:t xml:space="preserve">  </w:t>
            </w:r>
          </w:p>
        </w:tc>
        <w:tc>
          <w:tcPr>
            <w:tcW w:w="1230" w:type="dxa"/>
          </w:tcPr>
          <w:p w14:paraId="7D109875" w14:textId="77777777" w:rsidR="00B9514D" w:rsidRPr="00D609A2" w:rsidRDefault="00B9514D" w:rsidP="005072D5">
            <w:pPr>
              <w:jc w:val="center"/>
            </w:pPr>
          </w:p>
        </w:tc>
      </w:tr>
    </w:tbl>
    <w:p w14:paraId="2C177DA8" w14:textId="77777777" w:rsidR="00F44A66" w:rsidRDefault="00F44A66">
      <w:bookmarkStart w:id="0" w:name="_Hlk207361315"/>
      <w:r>
        <w:br w:type="page"/>
      </w:r>
    </w:p>
    <w:tbl>
      <w:tblPr>
        <w:tblW w:w="10728" w:type="dxa"/>
        <w:tblLayout w:type="fixed"/>
        <w:tblLook w:val="0000" w:firstRow="0" w:lastRow="0" w:firstColumn="0" w:lastColumn="0" w:noHBand="0" w:noVBand="0"/>
      </w:tblPr>
      <w:tblGrid>
        <w:gridCol w:w="827"/>
        <w:gridCol w:w="8671"/>
        <w:gridCol w:w="1230"/>
      </w:tblGrid>
      <w:tr w:rsidR="00F97F59" w:rsidRPr="00D609A2" w14:paraId="366A914C" w14:textId="77777777" w:rsidTr="00695E1C">
        <w:tc>
          <w:tcPr>
            <w:tcW w:w="827" w:type="dxa"/>
          </w:tcPr>
          <w:p w14:paraId="66D5A9F4" w14:textId="315BDC19" w:rsidR="00F97F59" w:rsidRDefault="00F97F59" w:rsidP="005072D5">
            <w:r>
              <w:lastRenderedPageBreak/>
              <w:t>8.3</w:t>
            </w:r>
          </w:p>
        </w:tc>
        <w:tc>
          <w:tcPr>
            <w:tcW w:w="8671" w:type="dxa"/>
          </w:tcPr>
          <w:p w14:paraId="291C310C" w14:textId="6644C999" w:rsidR="00F97F59" w:rsidRDefault="000C481E" w:rsidP="00F32AE8">
            <w:r>
              <w:t xml:space="preserve">John McIntyre, Chair of the Audit Committee, </w:t>
            </w:r>
            <w:r w:rsidR="00F44A66">
              <w:t xml:space="preserve">advised that work has been ongoing to ensure implementation dates on the </w:t>
            </w:r>
            <w:proofErr w:type="gramStart"/>
            <w:r w:rsidR="00F44A66">
              <w:t xml:space="preserve">TIAA </w:t>
            </w:r>
            <w:r>
              <w:t xml:space="preserve"> follow</w:t>
            </w:r>
            <w:proofErr w:type="gramEnd"/>
            <w:r>
              <w:t xml:space="preserve"> up reviews</w:t>
            </w:r>
            <w:r w:rsidR="00F44A66">
              <w:t xml:space="preserve"> are </w:t>
            </w:r>
            <w:proofErr w:type="gramStart"/>
            <w:r w:rsidR="00F44A66">
              <w:t>met</w:t>
            </w:r>
            <w:r>
              <w:t xml:space="preserve">, </w:t>
            </w:r>
            <w:r w:rsidR="00F44A66">
              <w:t xml:space="preserve"> and</w:t>
            </w:r>
            <w:proofErr w:type="gramEnd"/>
            <w:r w:rsidR="00F44A66">
              <w:t xml:space="preserve"> inviting the lead officer along to attend the Audit Committee has resulted in</w:t>
            </w:r>
            <w:r w:rsidR="00FF12E5">
              <w:t xml:space="preserve">significant improvements with several outstanding actions now completed.  The Committee </w:t>
            </w:r>
            <w:r w:rsidR="00F44A66">
              <w:t>has also requested a quarterly update, to give assurance to the Audit Committee the progress is being made,</w:t>
            </w:r>
            <w:r w:rsidR="00FF12E5">
              <w:t xml:space="preserve"> </w:t>
            </w:r>
            <w:r w:rsidR="00F44A66">
              <w:t>rather than wait for the annul update.</w:t>
            </w:r>
          </w:p>
          <w:p w14:paraId="2DE5F339" w14:textId="439E8C4D" w:rsidR="00F97F59" w:rsidRDefault="00F97F59" w:rsidP="00F32AE8"/>
        </w:tc>
        <w:tc>
          <w:tcPr>
            <w:tcW w:w="1230" w:type="dxa"/>
          </w:tcPr>
          <w:p w14:paraId="5F1EC30C" w14:textId="77777777" w:rsidR="00F97F59" w:rsidRDefault="00F97F59" w:rsidP="005072D5">
            <w:pPr>
              <w:jc w:val="center"/>
            </w:pPr>
          </w:p>
          <w:p w14:paraId="02E308C2" w14:textId="77777777" w:rsidR="00FF12E5" w:rsidRDefault="00FF12E5" w:rsidP="005072D5">
            <w:pPr>
              <w:jc w:val="center"/>
            </w:pPr>
          </w:p>
          <w:p w14:paraId="04696AF8" w14:textId="77777777" w:rsidR="00FF12E5" w:rsidRDefault="00FF12E5" w:rsidP="005072D5">
            <w:pPr>
              <w:jc w:val="center"/>
            </w:pPr>
          </w:p>
          <w:p w14:paraId="40B2D121" w14:textId="77777777" w:rsidR="00FF12E5" w:rsidRDefault="00FF12E5" w:rsidP="005072D5">
            <w:pPr>
              <w:jc w:val="center"/>
            </w:pPr>
          </w:p>
          <w:p w14:paraId="69B095AA" w14:textId="3F0C7A44" w:rsidR="00FF12E5" w:rsidRPr="00FF12E5" w:rsidRDefault="00FF12E5" w:rsidP="00FF12E5">
            <w:pPr>
              <w:jc w:val="center"/>
              <w:rPr>
                <w:b/>
                <w:bCs/>
              </w:rPr>
            </w:pPr>
          </w:p>
        </w:tc>
      </w:tr>
      <w:bookmarkEnd w:id="0"/>
      <w:tr w:rsidR="000C481E" w:rsidRPr="00D609A2" w14:paraId="023FD223" w14:textId="77777777" w:rsidTr="00695E1C">
        <w:tc>
          <w:tcPr>
            <w:tcW w:w="827" w:type="dxa"/>
          </w:tcPr>
          <w:p w14:paraId="45E7EE73" w14:textId="19377646" w:rsidR="000C481E" w:rsidRDefault="000C481E" w:rsidP="005072D5">
            <w:r>
              <w:t>8.3</w:t>
            </w:r>
          </w:p>
        </w:tc>
        <w:tc>
          <w:tcPr>
            <w:tcW w:w="8671" w:type="dxa"/>
          </w:tcPr>
          <w:p w14:paraId="05914F71" w14:textId="49B956D3" w:rsidR="000C481E" w:rsidRDefault="00F27A89" w:rsidP="00F32AE8">
            <w:r>
              <w:t xml:space="preserve">Fiona Smith, Head of Customer First advised that the internal audit guide </w:t>
            </w:r>
            <w:r w:rsidR="00F44A66">
              <w:t xml:space="preserve">(SFHA </w:t>
            </w:r>
            <w:proofErr w:type="gramStart"/>
            <w:r w:rsidR="00F44A66">
              <w:t>model )</w:t>
            </w:r>
            <w:proofErr w:type="gramEnd"/>
            <w:r w:rsidR="00F44A66">
              <w:t xml:space="preserve"> </w:t>
            </w:r>
            <w:r>
              <w:t xml:space="preserve">which is in the portal should be noted as an action as </w:t>
            </w:r>
            <w:r w:rsidR="00F44A66">
              <w:t>it is due for review.</w:t>
            </w:r>
            <w:r>
              <w:t xml:space="preserve"> </w:t>
            </w:r>
          </w:p>
          <w:p w14:paraId="6DB37B21" w14:textId="5AB584F4" w:rsidR="00F27A89" w:rsidRDefault="00F27A89" w:rsidP="00F32AE8"/>
        </w:tc>
        <w:tc>
          <w:tcPr>
            <w:tcW w:w="1230" w:type="dxa"/>
          </w:tcPr>
          <w:p w14:paraId="19879A86" w14:textId="6C4A1AB4" w:rsidR="000C481E" w:rsidRPr="00F27A89" w:rsidRDefault="00F27A89" w:rsidP="005072D5">
            <w:pPr>
              <w:jc w:val="center"/>
              <w:rPr>
                <w:b/>
                <w:bCs/>
              </w:rPr>
            </w:pPr>
            <w:r w:rsidRPr="00F27A89">
              <w:rPr>
                <w:b/>
                <w:bCs/>
              </w:rPr>
              <w:t>FS</w:t>
            </w:r>
          </w:p>
        </w:tc>
      </w:tr>
      <w:tr w:rsidR="005072D5" w:rsidRPr="00D609A2" w14:paraId="1C346CFC" w14:textId="77777777" w:rsidTr="00695E1C">
        <w:tc>
          <w:tcPr>
            <w:tcW w:w="827" w:type="dxa"/>
          </w:tcPr>
          <w:p w14:paraId="447EB244" w14:textId="3206262A" w:rsidR="005072D5" w:rsidRDefault="005072D5" w:rsidP="005072D5">
            <w:r>
              <w:t>8.</w:t>
            </w:r>
            <w:r w:rsidR="00F27A89">
              <w:t>4</w:t>
            </w:r>
          </w:p>
        </w:tc>
        <w:tc>
          <w:tcPr>
            <w:tcW w:w="8671" w:type="dxa"/>
          </w:tcPr>
          <w:p w14:paraId="3A431933" w14:textId="3A45CDDA" w:rsidR="00F32AE8" w:rsidRDefault="00F44A66" w:rsidP="00F32AE8">
            <w:r>
              <w:t>T</w:t>
            </w:r>
            <w:r w:rsidR="00880683">
              <w:t xml:space="preserve">he Board </w:t>
            </w:r>
            <w:r>
              <w:t>discussed succession planning for the audit committee and agreed that recruiting a member financially qualified should be a priority.</w:t>
            </w:r>
            <w:r w:rsidR="0020651B">
              <w:t xml:space="preserve"> </w:t>
            </w:r>
            <w:r w:rsidR="00F27A89">
              <w:t xml:space="preserve">The Board </w:t>
            </w:r>
            <w:r>
              <w:t xml:space="preserve">agreed </w:t>
            </w:r>
            <w:r w:rsidR="00F27A89">
              <w:t xml:space="preserve">they would want </w:t>
            </w:r>
            <w:r w:rsidR="0020651B">
              <w:t xml:space="preserve">to recruit </w:t>
            </w:r>
            <w:r w:rsidR="00F27A89">
              <w:t xml:space="preserve">at least one </w:t>
            </w:r>
            <w:r w:rsidR="0020651B">
              <w:t xml:space="preserve">member this year and ideally another one the following year or the next. This should be considered when recruiting independent members. </w:t>
            </w:r>
            <w:r w:rsidR="00880683">
              <w:t xml:space="preserve">  The Board agreed for the</w:t>
            </w:r>
            <w:r w:rsidR="0020651B">
              <w:t xml:space="preserve"> Audit Committee  </w:t>
            </w:r>
            <w:r w:rsidR="00880683">
              <w:t xml:space="preserve"> terms of reference to be amended</w:t>
            </w:r>
            <w:r>
              <w:t xml:space="preserve"> stating that a minimum of one member of the board have recent finance or internal/external audit experience. </w:t>
            </w:r>
            <w:r w:rsidR="0020651B">
              <w:t>This is as result of the retirement of</w:t>
            </w:r>
            <w:r>
              <w:t xml:space="preserve"> Ian Elrick </w:t>
            </w:r>
            <w:r w:rsidR="0020651B">
              <w:t xml:space="preserve">which will leave John McIntyre as the only member of the audit committee financially qualified. </w:t>
            </w:r>
          </w:p>
          <w:p w14:paraId="4B89BCC9" w14:textId="6D19C794" w:rsidR="00F32AE8" w:rsidRPr="00F32AE8" w:rsidRDefault="00F32AE8" w:rsidP="00F32AE8"/>
        </w:tc>
        <w:tc>
          <w:tcPr>
            <w:tcW w:w="1230" w:type="dxa"/>
          </w:tcPr>
          <w:p w14:paraId="55A6B693" w14:textId="77777777" w:rsidR="005072D5" w:rsidRDefault="005072D5" w:rsidP="005072D5">
            <w:pPr>
              <w:jc w:val="center"/>
            </w:pPr>
          </w:p>
          <w:p w14:paraId="43AF9095" w14:textId="77777777" w:rsidR="00880683" w:rsidRDefault="00880683" w:rsidP="005072D5">
            <w:pPr>
              <w:jc w:val="center"/>
            </w:pPr>
          </w:p>
          <w:p w14:paraId="60F4EE98" w14:textId="77777777" w:rsidR="00880683" w:rsidRDefault="00880683" w:rsidP="005072D5">
            <w:pPr>
              <w:jc w:val="center"/>
            </w:pPr>
          </w:p>
          <w:p w14:paraId="47CBA209" w14:textId="77777777" w:rsidR="00880683" w:rsidRDefault="00880683" w:rsidP="005072D5">
            <w:pPr>
              <w:jc w:val="center"/>
            </w:pPr>
          </w:p>
          <w:p w14:paraId="1C08D6B6" w14:textId="77777777" w:rsidR="00880683" w:rsidRDefault="00880683" w:rsidP="005072D5">
            <w:pPr>
              <w:jc w:val="center"/>
            </w:pPr>
          </w:p>
          <w:p w14:paraId="7E1C3BF0" w14:textId="2017BCF9" w:rsidR="00880683" w:rsidRPr="00880683" w:rsidRDefault="00880683" w:rsidP="00880683">
            <w:pPr>
              <w:rPr>
                <w:b/>
                <w:bCs/>
              </w:rPr>
            </w:pPr>
            <w:r>
              <w:rPr>
                <w:b/>
                <w:bCs/>
              </w:rPr>
              <w:t>AM</w:t>
            </w:r>
          </w:p>
        </w:tc>
      </w:tr>
      <w:tr w:rsidR="005072D5" w:rsidRPr="00D609A2" w14:paraId="2CE5D760" w14:textId="77777777" w:rsidTr="00695E1C">
        <w:tc>
          <w:tcPr>
            <w:tcW w:w="827" w:type="dxa"/>
          </w:tcPr>
          <w:p w14:paraId="49F77953" w14:textId="0D812AAB" w:rsidR="005072D5" w:rsidRDefault="005072D5" w:rsidP="005072D5">
            <w:r>
              <w:rPr>
                <w:rFonts w:ascii="Arial Bold" w:hAnsi="Arial Bold"/>
                <w:b/>
              </w:rPr>
              <w:t>9.0</w:t>
            </w:r>
          </w:p>
        </w:tc>
        <w:tc>
          <w:tcPr>
            <w:tcW w:w="8671" w:type="dxa"/>
          </w:tcPr>
          <w:p w14:paraId="15F4FE11" w14:textId="5B3F2FF2" w:rsidR="005072D5" w:rsidRDefault="00287F37" w:rsidP="005072D5">
            <w:pPr>
              <w:pStyle w:val="Heading1"/>
            </w:pPr>
            <w:r>
              <w:t>ANNUAL PROCUREMENT REPORT</w:t>
            </w:r>
          </w:p>
          <w:p w14:paraId="35F65013" w14:textId="77777777" w:rsidR="005072D5" w:rsidRDefault="005072D5" w:rsidP="005072D5">
            <w:pPr>
              <w:pStyle w:val="Heading1"/>
            </w:pPr>
          </w:p>
        </w:tc>
        <w:tc>
          <w:tcPr>
            <w:tcW w:w="1230" w:type="dxa"/>
          </w:tcPr>
          <w:p w14:paraId="456ACA75" w14:textId="77777777" w:rsidR="005072D5" w:rsidRPr="00D609A2" w:rsidRDefault="005072D5" w:rsidP="005072D5">
            <w:pPr>
              <w:jc w:val="center"/>
            </w:pPr>
          </w:p>
        </w:tc>
      </w:tr>
      <w:tr w:rsidR="00CB32FF" w:rsidRPr="00D609A2" w14:paraId="39AE7027" w14:textId="77777777" w:rsidTr="00695E1C">
        <w:tc>
          <w:tcPr>
            <w:tcW w:w="827" w:type="dxa"/>
          </w:tcPr>
          <w:p w14:paraId="6F3EE673" w14:textId="5B370D45" w:rsidR="00CB32FF" w:rsidRDefault="00CB32FF" w:rsidP="005072D5">
            <w:r>
              <w:t>9.1</w:t>
            </w:r>
          </w:p>
        </w:tc>
        <w:tc>
          <w:tcPr>
            <w:tcW w:w="8671" w:type="dxa"/>
          </w:tcPr>
          <w:p w14:paraId="37BD79A6" w14:textId="1EF51FC5" w:rsidR="00CB32FF" w:rsidRDefault="00CB32FF" w:rsidP="005072D5">
            <w:pPr>
              <w:pStyle w:val="Heading1"/>
              <w:rPr>
                <w:b w:val="0"/>
                <w:bCs w:val="0"/>
                <w:u w:val="none"/>
              </w:rPr>
            </w:pPr>
            <w:r>
              <w:rPr>
                <w:b w:val="0"/>
                <w:bCs w:val="0"/>
                <w:u w:val="none"/>
              </w:rPr>
              <w:t xml:space="preserve">The purpose of this report is to </w:t>
            </w:r>
            <w:r w:rsidR="0020651B">
              <w:rPr>
                <w:b w:val="0"/>
                <w:bCs w:val="0"/>
                <w:u w:val="none"/>
              </w:rPr>
              <w:t xml:space="preserve">present </w:t>
            </w:r>
            <w:r w:rsidR="00D13B6E" w:rsidRPr="00D13B6E">
              <w:rPr>
                <w:b w:val="0"/>
                <w:bCs w:val="0"/>
                <w:u w:val="none"/>
              </w:rPr>
              <w:t>all planned procurement activity, that would qualify as regulated procurement</w:t>
            </w:r>
            <w:r w:rsidR="00D13B6E">
              <w:rPr>
                <w:b w:val="0"/>
                <w:bCs w:val="0"/>
                <w:u w:val="none"/>
              </w:rPr>
              <w:t xml:space="preserve"> and is a requirement under</w:t>
            </w:r>
            <w:r w:rsidR="00D13B6E" w:rsidRPr="00D13B6E">
              <w:rPr>
                <w:b w:val="0"/>
                <w:bCs w:val="0"/>
                <w:u w:val="none"/>
              </w:rPr>
              <w:t xml:space="preserve"> Section 15 of the Procurement Reform (Scotland) Act 2014)</w:t>
            </w:r>
            <w:r w:rsidR="00D13B6E">
              <w:rPr>
                <w:b w:val="0"/>
                <w:bCs w:val="0"/>
                <w:u w:val="none"/>
              </w:rPr>
              <w:t xml:space="preserve">.    This report was available </w:t>
            </w:r>
            <w:r w:rsidR="0020651B">
              <w:rPr>
                <w:b w:val="0"/>
                <w:bCs w:val="0"/>
                <w:u w:val="none"/>
              </w:rPr>
              <w:t>in the</w:t>
            </w:r>
            <w:r w:rsidR="00D13B6E">
              <w:rPr>
                <w:b w:val="0"/>
                <w:bCs w:val="0"/>
                <w:u w:val="none"/>
              </w:rPr>
              <w:t xml:space="preserve"> board portal and </w:t>
            </w:r>
            <w:r w:rsidR="0020651B">
              <w:rPr>
                <w:b w:val="0"/>
                <w:bCs w:val="0"/>
                <w:u w:val="none"/>
              </w:rPr>
              <w:t>noted.</w:t>
            </w:r>
            <w:r w:rsidR="00D13B6E">
              <w:rPr>
                <w:b w:val="0"/>
                <w:bCs w:val="0"/>
                <w:u w:val="none"/>
              </w:rPr>
              <w:t xml:space="preserve"> </w:t>
            </w:r>
          </w:p>
          <w:p w14:paraId="5B1BB273" w14:textId="23E59893" w:rsidR="00D13B6E" w:rsidRPr="00D13B6E" w:rsidRDefault="00D13B6E" w:rsidP="00D13B6E"/>
        </w:tc>
        <w:tc>
          <w:tcPr>
            <w:tcW w:w="1230" w:type="dxa"/>
          </w:tcPr>
          <w:p w14:paraId="5099DC8A" w14:textId="77777777" w:rsidR="00CB32FF" w:rsidRPr="00D609A2" w:rsidRDefault="00CB32FF" w:rsidP="005072D5">
            <w:pPr>
              <w:jc w:val="center"/>
            </w:pPr>
          </w:p>
        </w:tc>
      </w:tr>
      <w:tr w:rsidR="005072D5" w:rsidRPr="00D609A2" w14:paraId="40B4F99B" w14:textId="77777777" w:rsidTr="00695E1C">
        <w:tc>
          <w:tcPr>
            <w:tcW w:w="827" w:type="dxa"/>
          </w:tcPr>
          <w:p w14:paraId="2F6D64C6" w14:textId="52A855EC" w:rsidR="005072D5" w:rsidRDefault="005072D5" w:rsidP="005072D5">
            <w:r>
              <w:rPr>
                <w:rFonts w:ascii="Arial Bold" w:hAnsi="Arial Bold"/>
                <w:b/>
              </w:rPr>
              <w:t>10.</w:t>
            </w:r>
            <w:r w:rsidR="0020651B">
              <w:rPr>
                <w:rFonts w:ascii="Arial Bold" w:hAnsi="Arial Bold"/>
                <w:b/>
              </w:rPr>
              <w:t>0</w:t>
            </w:r>
          </w:p>
        </w:tc>
        <w:tc>
          <w:tcPr>
            <w:tcW w:w="8671" w:type="dxa"/>
          </w:tcPr>
          <w:p w14:paraId="0620F778" w14:textId="195DBBA1" w:rsidR="005072D5" w:rsidRDefault="007E5E9D" w:rsidP="005072D5">
            <w:pPr>
              <w:pStyle w:val="Heading1"/>
            </w:pPr>
            <w:r>
              <w:t>ASSURANCE OF LIFT DUTY OF CARE</w:t>
            </w:r>
          </w:p>
          <w:p w14:paraId="12BFC94A" w14:textId="77777777" w:rsidR="005072D5" w:rsidRDefault="005072D5" w:rsidP="005072D5">
            <w:pPr>
              <w:pStyle w:val="Heading1"/>
            </w:pPr>
          </w:p>
        </w:tc>
        <w:tc>
          <w:tcPr>
            <w:tcW w:w="1230" w:type="dxa"/>
          </w:tcPr>
          <w:p w14:paraId="6299C8B0" w14:textId="77777777" w:rsidR="005072D5" w:rsidRPr="00D609A2" w:rsidRDefault="005072D5" w:rsidP="005072D5">
            <w:pPr>
              <w:jc w:val="center"/>
            </w:pPr>
          </w:p>
        </w:tc>
      </w:tr>
      <w:tr w:rsidR="005913BA" w:rsidRPr="00D609A2" w14:paraId="6164C15C" w14:textId="77777777" w:rsidTr="00695E1C">
        <w:tc>
          <w:tcPr>
            <w:tcW w:w="827" w:type="dxa"/>
          </w:tcPr>
          <w:p w14:paraId="01A4BCAE" w14:textId="47B4F80B" w:rsidR="005913BA" w:rsidRDefault="005913BA" w:rsidP="005072D5">
            <w:r>
              <w:t>10.1</w:t>
            </w:r>
          </w:p>
        </w:tc>
        <w:tc>
          <w:tcPr>
            <w:tcW w:w="8671" w:type="dxa"/>
          </w:tcPr>
          <w:p w14:paraId="4CE7442D" w14:textId="5CCD1611" w:rsidR="005913BA" w:rsidRDefault="005913BA" w:rsidP="005072D5">
            <w:pPr>
              <w:pStyle w:val="Heading1"/>
              <w:rPr>
                <w:b w:val="0"/>
                <w:bCs w:val="0"/>
                <w:u w:val="none"/>
              </w:rPr>
            </w:pPr>
            <w:r>
              <w:rPr>
                <w:b w:val="0"/>
                <w:bCs w:val="0"/>
                <w:u w:val="none"/>
              </w:rPr>
              <w:t xml:space="preserve">The purpose of this report was to provide the Board </w:t>
            </w:r>
            <w:r w:rsidR="0020651B">
              <w:rPr>
                <w:b w:val="0"/>
                <w:bCs w:val="0"/>
                <w:u w:val="none"/>
              </w:rPr>
              <w:t xml:space="preserve">with </w:t>
            </w:r>
            <w:r>
              <w:rPr>
                <w:b w:val="0"/>
                <w:bCs w:val="0"/>
                <w:u w:val="none"/>
              </w:rPr>
              <w:t xml:space="preserve">assurance on </w:t>
            </w:r>
            <w:r w:rsidR="0020651B">
              <w:rPr>
                <w:b w:val="0"/>
                <w:bCs w:val="0"/>
                <w:u w:val="none"/>
              </w:rPr>
              <w:t>recent TIAA Assurance Review</w:t>
            </w:r>
            <w:r>
              <w:rPr>
                <w:b w:val="0"/>
                <w:bCs w:val="0"/>
                <w:u w:val="none"/>
              </w:rPr>
              <w:t xml:space="preserve"> </w:t>
            </w:r>
            <w:r w:rsidR="0020651B">
              <w:rPr>
                <w:b w:val="0"/>
                <w:bCs w:val="0"/>
                <w:u w:val="none"/>
              </w:rPr>
              <w:t xml:space="preserve">Duty </w:t>
            </w:r>
            <w:proofErr w:type="gramStart"/>
            <w:r w:rsidR="0020651B">
              <w:rPr>
                <w:b w:val="0"/>
                <w:bCs w:val="0"/>
                <w:u w:val="none"/>
              </w:rPr>
              <w:t>Of</w:t>
            </w:r>
            <w:proofErr w:type="gramEnd"/>
            <w:r w:rsidR="0020651B">
              <w:rPr>
                <w:b w:val="0"/>
                <w:bCs w:val="0"/>
                <w:u w:val="none"/>
              </w:rPr>
              <w:t xml:space="preserve"> Care (Electrical Safety </w:t>
            </w:r>
            <w:r w:rsidR="00840142">
              <w:rPr>
                <w:b w:val="0"/>
                <w:bCs w:val="0"/>
                <w:u w:val="none"/>
              </w:rPr>
              <w:t>a</w:t>
            </w:r>
            <w:r w:rsidR="0020651B">
              <w:rPr>
                <w:b w:val="0"/>
                <w:bCs w:val="0"/>
                <w:u w:val="none"/>
              </w:rPr>
              <w:t>nd Lift Maintenance)</w:t>
            </w:r>
            <w:r>
              <w:rPr>
                <w:b w:val="0"/>
                <w:bCs w:val="0"/>
                <w:u w:val="none"/>
              </w:rPr>
              <w:t xml:space="preserve"> This report was presented by Phil Daws, Director of Property, Enterprise &amp; Regeneration.  </w:t>
            </w:r>
          </w:p>
          <w:p w14:paraId="27E71383" w14:textId="00D099E7" w:rsidR="005913BA" w:rsidRPr="005913BA" w:rsidRDefault="005913BA" w:rsidP="005913BA"/>
        </w:tc>
        <w:tc>
          <w:tcPr>
            <w:tcW w:w="1230" w:type="dxa"/>
          </w:tcPr>
          <w:p w14:paraId="66E45A30" w14:textId="77777777" w:rsidR="005913BA" w:rsidRPr="00D609A2" w:rsidRDefault="005913BA" w:rsidP="005072D5">
            <w:pPr>
              <w:jc w:val="center"/>
            </w:pPr>
          </w:p>
        </w:tc>
      </w:tr>
      <w:tr w:rsidR="00784C3E" w:rsidRPr="00D609A2" w14:paraId="76C30168" w14:textId="77777777" w:rsidTr="00695E1C">
        <w:tc>
          <w:tcPr>
            <w:tcW w:w="827" w:type="dxa"/>
          </w:tcPr>
          <w:p w14:paraId="1249C45F" w14:textId="2A5B5242" w:rsidR="00784C3E" w:rsidRDefault="00784C3E" w:rsidP="005072D5">
            <w:r>
              <w:t>10.</w:t>
            </w:r>
            <w:r w:rsidR="0020651B">
              <w:t>2</w:t>
            </w:r>
          </w:p>
        </w:tc>
        <w:tc>
          <w:tcPr>
            <w:tcW w:w="8671" w:type="dxa"/>
          </w:tcPr>
          <w:p w14:paraId="0A839F89" w14:textId="292FD28D" w:rsidR="00784C3E" w:rsidRDefault="0020651B" w:rsidP="007E5E9D">
            <w:r>
              <w:t>The board was provided with detail information on the lift and EICR programme</w:t>
            </w:r>
            <w:r w:rsidR="00840142">
              <w:t>s</w:t>
            </w:r>
            <w:r>
              <w:t xml:space="preserve"> and it was confirmed that all</w:t>
            </w:r>
            <w:r w:rsidR="00784C3E">
              <w:t xml:space="preserve"> lifts </w:t>
            </w:r>
            <w:r>
              <w:t xml:space="preserve">are to </w:t>
            </w:r>
            <w:r w:rsidR="00784C3E">
              <w:t xml:space="preserve">be assessed.  </w:t>
            </w:r>
            <w:r w:rsidR="009234CB">
              <w:t xml:space="preserve">The Board </w:t>
            </w:r>
            <w:r>
              <w:t>was</w:t>
            </w:r>
            <w:r w:rsidR="009234CB">
              <w:t xml:space="preserve"> advised that </w:t>
            </w:r>
            <w:r>
              <w:t xml:space="preserve">a further update would be provided to the Audit Committee on 5 August </w:t>
            </w:r>
            <w:r w:rsidR="00840142">
              <w:t>and it will be raised with the</w:t>
            </w:r>
            <w:r w:rsidR="009234CB">
              <w:t xml:space="preserve"> Leadership Team </w:t>
            </w:r>
            <w:r w:rsidR="00840142">
              <w:t>for members to ensure the context of findings in Assurance reports, are clearly clarified with the Auditor prior to signing off</w:t>
            </w:r>
            <w:r w:rsidR="009234CB">
              <w:t xml:space="preserve">.  </w:t>
            </w:r>
          </w:p>
          <w:p w14:paraId="32FF2410" w14:textId="70D80E8B" w:rsidR="009234CB" w:rsidRDefault="009234CB" w:rsidP="007E5E9D"/>
        </w:tc>
        <w:tc>
          <w:tcPr>
            <w:tcW w:w="1230" w:type="dxa"/>
          </w:tcPr>
          <w:p w14:paraId="01175275" w14:textId="77777777" w:rsidR="00784C3E" w:rsidRPr="00D609A2" w:rsidRDefault="00784C3E" w:rsidP="005072D5">
            <w:pPr>
              <w:jc w:val="center"/>
            </w:pPr>
          </w:p>
        </w:tc>
      </w:tr>
      <w:tr w:rsidR="00FE5914" w:rsidRPr="00D609A2" w14:paraId="4B082D20" w14:textId="77777777" w:rsidTr="00695E1C">
        <w:tc>
          <w:tcPr>
            <w:tcW w:w="827" w:type="dxa"/>
          </w:tcPr>
          <w:p w14:paraId="5A674490" w14:textId="3E35B2D8" w:rsidR="00FE5914" w:rsidRDefault="00FE5914" w:rsidP="005072D5">
            <w:r>
              <w:t>11.</w:t>
            </w:r>
          </w:p>
        </w:tc>
        <w:tc>
          <w:tcPr>
            <w:tcW w:w="8671" w:type="dxa"/>
          </w:tcPr>
          <w:p w14:paraId="5C3815E5" w14:textId="7E69AC66" w:rsidR="00FE5914" w:rsidRPr="004506EF" w:rsidRDefault="004004B6" w:rsidP="005072D5">
            <w:pPr>
              <w:pStyle w:val="Heading1"/>
            </w:pPr>
            <w:r w:rsidRPr="004506EF">
              <w:t>NEIGHBOURHOOD PLANNING UPDATE</w:t>
            </w:r>
          </w:p>
          <w:p w14:paraId="46BE29F2" w14:textId="4C473E1D" w:rsidR="004004B6" w:rsidRPr="004004B6" w:rsidRDefault="004004B6" w:rsidP="004004B6"/>
        </w:tc>
        <w:tc>
          <w:tcPr>
            <w:tcW w:w="1230" w:type="dxa"/>
          </w:tcPr>
          <w:p w14:paraId="085BF665" w14:textId="77777777" w:rsidR="00FE5914" w:rsidRPr="00D609A2" w:rsidRDefault="00FE5914" w:rsidP="005072D5">
            <w:pPr>
              <w:jc w:val="center"/>
            </w:pPr>
          </w:p>
        </w:tc>
      </w:tr>
      <w:tr w:rsidR="004004B6" w:rsidRPr="00D609A2" w14:paraId="52EC2E8F" w14:textId="77777777" w:rsidTr="00695E1C">
        <w:tc>
          <w:tcPr>
            <w:tcW w:w="827" w:type="dxa"/>
          </w:tcPr>
          <w:p w14:paraId="016DEEC1" w14:textId="602A364D" w:rsidR="004004B6" w:rsidRPr="004004B6" w:rsidRDefault="004004B6" w:rsidP="005072D5">
            <w:r>
              <w:t>11.1</w:t>
            </w:r>
          </w:p>
        </w:tc>
        <w:tc>
          <w:tcPr>
            <w:tcW w:w="8671" w:type="dxa"/>
          </w:tcPr>
          <w:p w14:paraId="30D43A8B" w14:textId="4E4A9420" w:rsidR="004004B6" w:rsidRDefault="004004B6" w:rsidP="00BC1676">
            <w:pPr>
              <w:pStyle w:val="Heading1"/>
              <w:rPr>
                <w:b w:val="0"/>
                <w:bCs w:val="0"/>
                <w:u w:val="none"/>
              </w:rPr>
            </w:pPr>
            <w:r>
              <w:rPr>
                <w:b w:val="0"/>
                <w:bCs w:val="0"/>
                <w:u w:val="none"/>
              </w:rPr>
              <w:t>The purpose of this report was for t</w:t>
            </w:r>
            <w:r w:rsidRPr="004004B6">
              <w:rPr>
                <w:b w:val="0"/>
                <w:bCs w:val="0"/>
                <w:u w:val="none"/>
              </w:rPr>
              <w:t xml:space="preserve">he Board is asked to note the progress of our Neighbourhood Plans and the next steps for developing and building on this </w:t>
            </w:r>
            <w:r w:rsidR="008C0174">
              <w:rPr>
                <w:b w:val="0"/>
                <w:bCs w:val="0"/>
                <w:u w:val="none"/>
              </w:rPr>
              <w:t xml:space="preserve">new </w:t>
            </w:r>
            <w:r w:rsidRPr="004004B6">
              <w:rPr>
                <w:b w:val="0"/>
                <w:bCs w:val="0"/>
                <w:u w:val="none"/>
              </w:rPr>
              <w:t>approach</w:t>
            </w:r>
            <w:r w:rsidR="008C0174">
              <w:rPr>
                <w:b w:val="0"/>
                <w:bCs w:val="0"/>
                <w:u w:val="none"/>
              </w:rPr>
              <w:t xml:space="preserve"> to customer engagement</w:t>
            </w:r>
            <w:r w:rsidRPr="004004B6">
              <w:rPr>
                <w:b w:val="0"/>
                <w:bCs w:val="0"/>
                <w:u w:val="none"/>
              </w:rPr>
              <w:t>.</w:t>
            </w:r>
            <w:r>
              <w:rPr>
                <w:b w:val="0"/>
                <w:bCs w:val="0"/>
                <w:u w:val="none"/>
              </w:rPr>
              <w:t xml:space="preserve">  This report was presented by Heather Anderson, Director of Neighbourhood Services.  </w:t>
            </w:r>
          </w:p>
          <w:p w14:paraId="716D0DA5" w14:textId="3A89D5A5" w:rsidR="004004B6" w:rsidRPr="004004B6" w:rsidRDefault="004004B6" w:rsidP="004004B6"/>
        </w:tc>
        <w:tc>
          <w:tcPr>
            <w:tcW w:w="1230" w:type="dxa"/>
          </w:tcPr>
          <w:p w14:paraId="7FB1613C" w14:textId="77777777" w:rsidR="004004B6" w:rsidRPr="00D609A2" w:rsidRDefault="004004B6" w:rsidP="005072D5">
            <w:pPr>
              <w:jc w:val="center"/>
            </w:pPr>
          </w:p>
        </w:tc>
      </w:tr>
      <w:tr w:rsidR="0035116F" w:rsidRPr="00D609A2" w14:paraId="6991867F" w14:textId="77777777" w:rsidTr="00695E1C">
        <w:tc>
          <w:tcPr>
            <w:tcW w:w="827" w:type="dxa"/>
          </w:tcPr>
          <w:p w14:paraId="3E883B70" w14:textId="508874C2" w:rsidR="0035116F" w:rsidRDefault="0035116F" w:rsidP="005072D5">
            <w:r>
              <w:t>11.2</w:t>
            </w:r>
          </w:p>
        </w:tc>
        <w:tc>
          <w:tcPr>
            <w:tcW w:w="8671" w:type="dxa"/>
          </w:tcPr>
          <w:p w14:paraId="2283C178" w14:textId="0748A8A0" w:rsidR="0035116F" w:rsidRPr="0035116F" w:rsidRDefault="0035116F" w:rsidP="0035116F">
            <w:r w:rsidRPr="0035116F">
              <w:t xml:space="preserve">A report was </w:t>
            </w:r>
            <w:proofErr w:type="gramStart"/>
            <w:r w:rsidR="008C0174">
              <w:t xml:space="preserve">presented </w:t>
            </w:r>
            <w:r w:rsidRPr="0035116F">
              <w:t xml:space="preserve"> to</w:t>
            </w:r>
            <w:proofErr w:type="gramEnd"/>
            <w:r w:rsidRPr="0035116F">
              <w:t xml:space="preserve"> Board in September 2024 outlining a new approach to engaging with local communities and improving the quality of our neighbourhoods through Neighbourhood Planning.  It was </w:t>
            </w:r>
            <w:r w:rsidR="008C0174">
              <w:t xml:space="preserve">important to </w:t>
            </w:r>
            <w:r w:rsidRPr="0035116F">
              <w:t xml:space="preserve">recognise that each of our four neighbourhoods had </w:t>
            </w:r>
            <w:r w:rsidR="008C0174">
              <w:t xml:space="preserve">its own </w:t>
            </w:r>
            <w:r w:rsidRPr="0035116F">
              <w:t xml:space="preserve">key priorities. Since </w:t>
            </w:r>
            <w:r>
              <w:t>September,</w:t>
            </w:r>
            <w:r w:rsidRPr="0035116F">
              <w:t xml:space="preserve"> consultation has taken place with residents from each neighbourhood, staff, and external stakeholders, to develop a 2025/26 Neighbourhood Plan for each area. A copy of each of the plans can be found here </w:t>
            </w:r>
            <w:hyperlink r:id="rId8" w:history="1">
              <w:r w:rsidRPr="0035116F">
                <w:rPr>
                  <w:rStyle w:val="Hyperlink"/>
                </w:rPr>
                <w:t>https://www.qcha.org.uk/my-qc-home/neighbourhood-plans-for-202526</w:t>
              </w:r>
            </w:hyperlink>
            <w:r w:rsidRPr="0035116F">
              <w:t xml:space="preserve"> </w:t>
            </w:r>
            <w:r>
              <w:t xml:space="preserve">.  </w:t>
            </w:r>
            <w:r w:rsidR="008C0174">
              <w:t xml:space="preserve">It was noted that </w:t>
            </w:r>
            <w:r>
              <w:t xml:space="preserve">useful feedback and other suggestions for taking forward into next </w:t>
            </w:r>
            <w:proofErr w:type="spellStart"/>
            <w:r>
              <w:t>years</w:t>
            </w:r>
            <w:proofErr w:type="spellEnd"/>
            <w:r>
              <w:t xml:space="preserve"> plans</w:t>
            </w:r>
            <w:r w:rsidR="008C0174">
              <w:t xml:space="preserve"> has been received from residents</w:t>
            </w:r>
            <w:r>
              <w:t xml:space="preserve">.  We have provided commitment to tenants that quarterly updates will be provided through focus magazine, text, on the website and that Housing Officers will carry out neighbourhood inspections which tenants will be invited to join.  Quarterly updates will be provided to the Board as part </w:t>
            </w:r>
            <w:r>
              <w:lastRenderedPageBreak/>
              <w:t xml:space="preserve">of the </w:t>
            </w:r>
            <w:r w:rsidR="004044C2">
              <w:t xml:space="preserve">2025 – 2030 </w:t>
            </w:r>
            <w:r>
              <w:t xml:space="preserve">business plan.  </w:t>
            </w:r>
            <w:r w:rsidR="004044C2">
              <w:t xml:space="preserve">The Social Regeneration Manager has been given responsibility of overseeing the actions and will provide regular updates to </w:t>
            </w:r>
            <w:r w:rsidR="008C0174">
              <w:t xml:space="preserve">the Executive Team </w:t>
            </w:r>
            <w:r w:rsidR="004044C2">
              <w:t xml:space="preserve">   </w:t>
            </w:r>
            <w:proofErr w:type="gramStart"/>
            <w:r w:rsidR="004044C2">
              <w:t>The</w:t>
            </w:r>
            <w:proofErr w:type="gramEnd"/>
            <w:r w:rsidR="004044C2">
              <w:t xml:space="preserve"> Board noted that it is important to </w:t>
            </w:r>
            <w:proofErr w:type="gramStart"/>
            <w:r w:rsidR="008C0174">
              <w:t xml:space="preserve">build </w:t>
            </w:r>
            <w:r w:rsidR="004044C2">
              <w:t xml:space="preserve"> trust</w:t>
            </w:r>
            <w:proofErr w:type="gramEnd"/>
            <w:r w:rsidR="004044C2">
              <w:t xml:space="preserve"> </w:t>
            </w:r>
            <w:proofErr w:type="gramStart"/>
            <w:r w:rsidR="008C0174">
              <w:t>with  tenants</w:t>
            </w:r>
            <w:proofErr w:type="gramEnd"/>
            <w:r w:rsidR="008C0174">
              <w:t xml:space="preserve"> a</w:t>
            </w:r>
            <w:r w:rsidR="004044C2">
              <w:t xml:space="preserve">nd deliver on what we say will be done.  </w:t>
            </w:r>
          </w:p>
          <w:p w14:paraId="0B5D1487" w14:textId="5A1D9488" w:rsidR="0035116F" w:rsidRPr="0035116F" w:rsidRDefault="0035116F" w:rsidP="0035116F"/>
        </w:tc>
        <w:tc>
          <w:tcPr>
            <w:tcW w:w="1230" w:type="dxa"/>
          </w:tcPr>
          <w:p w14:paraId="0CE9348C" w14:textId="77777777" w:rsidR="0035116F" w:rsidRPr="00D609A2" w:rsidRDefault="0035116F" w:rsidP="005072D5">
            <w:pPr>
              <w:jc w:val="center"/>
            </w:pPr>
          </w:p>
        </w:tc>
      </w:tr>
      <w:tr w:rsidR="00FE5914" w:rsidRPr="00D609A2" w14:paraId="3D18D2FA" w14:textId="77777777" w:rsidTr="00695E1C">
        <w:tc>
          <w:tcPr>
            <w:tcW w:w="827" w:type="dxa"/>
          </w:tcPr>
          <w:p w14:paraId="3A95CA36" w14:textId="2334EA54" w:rsidR="00FE5914" w:rsidRDefault="00FE5914" w:rsidP="005072D5">
            <w:r>
              <w:t xml:space="preserve">12.  </w:t>
            </w:r>
          </w:p>
        </w:tc>
        <w:tc>
          <w:tcPr>
            <w:tcW w:w="8671" w:type="dxa"/>
          </w:tcPr>
          <w:p w14:paraId="41D21F7A" w14:textId="77777777" w:rsidR="00FE5914" w:rsidRPr="004506EF" w:rsidRDefault="00FE5914" w:rsidP="00FE5914">
            <w:pPr>
              <w:pStyle w:val="Heading1"/>
              <w:tabs>
                <w:tab w:val="left" w:pos="1390"/>
              </w:tabs>
            </w:pPr>
            <w:r w:rsidRPr="004506EF">
              <w:t>NW PARTNERS</w:t>
            </w:r>
          </w:p>
          <w:p w14:paraId="1F7B58C7" w14:textId="0715AD24" w:rsidR="00FE5914" w:rsidRPr="00FE5914" w:rsidRDefault="00FE5914" w:rsidP="00FE5914"/>
        </w:tc>
        <w:tc>
          <w:tcPr>
            <w:tcW w:w="1230" w:type="dxa"/>
          </w:tcPr>
          <w:p w14:paraId="5A0997FE" w14:textId="77777777" w:rsidR="00FE5914" w:rsidRPr="00D609A2" w:rsidRDefault="00FE5914" w:rsidP="005072D5">
            <w:pPr>
              <w:jc w:val="center"/>
            </w:pPr>
          </w:p>
        </w:tc>
      </w:tr>
      <w:tr w:rsidR="00335607" w:rsidRPr="00D609A2" w14:paraId="227D2662" w14:textId="77777777" w:rsidTr="00695E1C">
        <w:tc>
          <w:tcPr>
            <w:tcW w:w="827" w:type="dxa"/>
          </w:tcPr>
          <w:p w14:paraId="3DD3D4B6" w14:textId="0C4F762B" w:rsidR="00335607" w:rsidRDefault="00335607" w:rsidP="005072D5">
            <w:r>
              <w:t>12.1</w:t>
            </w:r>
          </w:p>
        </w:tc>
        <w:tc>
          <w:tcPr>
            <w:tcW w:w="8671" w:type="dxa"/>
          </w:tcPr>
          <w:p w14:paraId="0910DC0C" w14:textId="5F93BF04" w:rsidR="003C047E" w:rsidRDefault="00335607" w:rsidP="003C047E">
            <w:r w:rsidRPr="003C047E">
              <w:t>The purpose of this report was for</w:t>
            </w:r>
            <w:r>
              <w:rPr>
                <w:b/>
                <w:bCs/>
              </w:rPr>
              <w:t xml:space="preserve"> </w:t>
            </w:r>
            <w:r w:rsidR="003C047E">
              <w:t>the Board to:</w:t>
            </w:r>
          </w:p>
          <w:p w14:paraId="66D65E92" w14:textId="77777777" w:rsidR="003C047E" w:rsidRPr="0009476A" w:rsidRDefault="003C047E" w:rsidP="003C047E">
            <w:pPr>
              <w:pStyle w:val="ListParagraph"/>
              <w:numPr>
                <w:ilvl w:val="0"/>
                <w:numId w:val="23"/>
              </w:numPr>
              <w:rPr>
                <w:rFonts w:ascii="Arial" w:hAnsi="Arial" w:cs="Arial"/>
                <w:sz w:val="22"/>
                <w:szCs w:val="22"/>
              </w:rPr>
            </w:pPr>
            <w:r w:rsidRPr="0009476A">
              <w:rPr>
                <w:rFonts w:ascii="Arial" w:hAnsi="Arial" w:cs="Arial"/>
                <w:sz w:val="22"/>
                <w:szCs w:val="22"/>
              </w:rPr>
              <w:t xml:space="preserve">approve the overarching Partnership Plan and the Annual Project Plan 2025/26 for the </w:t>
            </w:r>
            <w:proofErr w:type="gramStart"/>
            <w:r w:rsidRPr="0009476A">
              <w:rPr>
                <w:rFonts w:ascii="Arial" w:hAnsi="Arial" w:cs="Arial"/>
                <w:sz w:val="22"/>
                <w:szCs w:val="22"/>
              </w:rPr>
              <w:t>North West</w:t>
            </w:r>
            <w:proofErr w:type="gramEnd"/>
            <w:r w:rsidRPr="0009476A">
              <w:rPr>
                <w:rFonts w:ascii="Arial" w:hAnsi="Arial" w:cs="Arial"/>
                <w:sz w:val="22"/>
                <w:szCs w:val="22"/>
              </w:rPr>
              <w:t xml:space="preserve"> Partners activities</w:t>
            </w:r>
            <w:r>
              <w:rPr>
                <w:rFonts w:ascii="Arial" w:hAnsi="Arial" w:cs="Arial"/>
                <w:sz w:val="22"/>
                <w:szCs w:val="22"/>
              </w:rPr>
              <w:t xml:space="preserve"> agreed</w:t>
            </w:r>
            <w:r w:rsidRPr="0009476A">
              <w:rPr>
                <w:rFonts w:ascii="Arial" w:hAnsi="Arial" w:cs="Arial"/>
                <w:sz w:val="22"/>
                <w:szCs w:val="22"/>
              </w:rPr>
              <w:t xml:space="preserve"> between QCHA and MHA. </w:t>
            </w:r>
            <w:r>
              <w:rPr>
                <w:rFonts w:ascii="Arial" w:hAnsi="Arial" w:cs="Arial"/>
                <w:sz w:val="22"/>
                <w:szCs w:val="22"/>
              </w:rPr>
              <w:t>(</w:t>
            </w:r>
            <w:r w:rsidRPr="0009476A">
              <w:rPr>
                <w:rFonts w:ascii="Arial" w:hAnsi="Arial" w:cs="Arial"/>
                <w:sz w:val="22"/>
                <w:szCs w:val="22"/>
              </w:rPr>
              <w:t>Attached as appendix 1</w:t>
            </w:r>
            <w:r>
              <w:rPr>
                <w:rFonts w:ascii="Arial" w:hAnsi="Arial" w:cs="Arial"/>
                <w:sz w:val="22"/>
                <w:szCs w:val="22"/>
              </w:rPr>
              <w:t>)</w:t>
            </w:r>
            <w:r w:rsidRPr="0009476A">
              <w:rPr>
                <w:rFonts w:ascii="Arial" w:hAnsi="Arial" w:cs="Arial"/>
                <w:sz w:val="22"/>
                <w:szCs w:val="22"/>
              </w:rPr>
              <w:t>.</w:t>
            </w:r>
          </w:p>
          <w:p w14:paraId="48F6F94E" w14:textId="77777777" w:rsidR="003C047E" w:rsidRPr="000562A2" w:rsidRDefault="003C047E" w:rsidP="003C047E">
            <w:pPr>
              <w:pStyle w:val="ListParagraph"/>
              <w:numPr>
                <w:ilvl w:val="0"/>
                <w:numId w:val="23"/>
              </w:numPr>
              <w:rPr>
                <w:rFonts w:ascii="Arial" w:hAnsi="Arial" w:cs="Arial"/>
                <w:b/>
                <w:sz w:val="22"/>
                <w:szCs w:val="22"/>
              </w:rPr>
            </w:pPr>
            <w:r>
              <w:rPr>
                <w:rFonts w:ascii="Arial" w:hAnsi="Arial" w:cs="Arial"/>
                <w:sz w:val="22"/>
                <w:szCs w:val="22"/>
              </w:rPr>
              <w:t>n</w:t>
            </w:r>
            <w:r w:rsidRPr="0009476A">
              <w:rPr>
                <w:rFonts w:ascii="Arial" w:hAnsi="Arial" w:cs="Arial"/>
                <w:sz w:val="22"/>
                <w:szCs w:val="22"/>
              </w:rPr>
              <w:t xml:space="preserve">ote that the progress on delivery of the 2025/26 Annual Project Plan will be monitored by the </w:t>
            </w:r>
            <w:proofErr w:type="gramStart"/>
            <w:r w:rsidRPr="0009476A">
              <w:rPr>
                <w:rFonts w:ascii="Arial" w:hAnsi="Arial" w:cs="Arial"/>
                <w:sz w:val="22"/>
                <w:szCs w:val="22"/>
              </w:rPr>
              <w:t>North West</w:t>
            </w:r>
            <w:proofErr w:type="gramEnd"/>
            <w:r w:rsidRPr="0009476A">
              <w:rPr>
                <w:rFonts w:ascii="Arial" w:hAnsi="Arial" w:cs="Arial"/>
                <w:sz w:val="22"/>
                <w:szCs w:val="22"/>
              </w:rPr>
              <w:t xml:space="preserve"> Partners Steering Group</w:t>
            </w:r>
          </w:p>
          <w:p w14:paraId="45C6FF40" w14:textId="77777777" w:rsidR="003C047E" w:rsidRPr="00B76175" w:rsidRDefault="003C047E" w:rsidP="003C047E">
            <w:pPr>
              <w:pStyle w:val="ListParagraph"/>
              <w:numPr>
                <w:ilvl w:val="0"/>
                <w:numId w:val="23"/>
              </w:numPr>
              <w:rPr>
                <w:rFonts w:ascii="Arial" w:hAnsi="Arial" w:cs="Arial"/>
                <w:sz w:val="22"/>
                <w:szCs w:val="22"/>
              </w:rPr>
            </w:pPr>
            <w:r w:rsidRPr="00B76175">
              <w:rPr>
                <w:rFonts w:ascii="Arial" w:hAnsi="Arial" w:cs="Arial"/>
                <w:bCs/>
                <w:sz w:val="22"/>
                <w:szCs w:val="22"/>
              </w:rPr>
              <w:t>approve the remit (attached as appendix 2) for the NW Partners Steering Group.</w:t>
            </w:r>
          </w:p>
          <w:p w14:paraId="33400C3A" w14:textId="77777777" w:rsidR="00335607" w:rsidRDefault="003C047E" w:rsidP="00FE5914">
            <w:pPr>
              <w:pStyle w:val="Heading1"/>
              <w:tabs>
                <w:tab w:val="left" w:pos="1390"/>
              </w:tabs>
              <w:rPr>
                <w:b w:val="0"/>
                <w:bCs w:val="0"/>
                <w:u w:val="none"/>
              </w:rPr>
            </w:pPr>
            <w:r>
              <w:rPr>
                <w:b w:val="0"/>
                <w:bCs w:val="0"/>
                <w:u w:val="none"/>
              </w:rPr>
              <w:t xml:space="preserve">This report was presented by Shona Stephen, Chief Executive Officer.  </w:t>
            </w:r>
          </w:p>
          <w:p w14:paraId="029412E1" w14:textId="1B12B5A8" w:rsidR="003C047E" w:rsidRPr="003C047E" w:rsidRDefault="003C047E" w:rsidP="003C047E"/>
        </w:tc>
        <w:tc>
          <w:tcPr>
            <w:tcW w:w="1230" w:type="dxa"/>
          </w:tcPr>
          <w:p w14:paraId="05A4E8A1" w14:textId="77777777" w:rsidR="00335607" w:rsidRPr="00D609A2" w:rsidRDefault="00335607" w:rsidP="005072D5">
            <w:pPr>
              <w:jc w:val="center"/>
            </w:pPr>
          </w:p>
        </w:tc>
      </w:tr>
      <w:tr w:rsidR="003C047E" w:rsidRPr="00D609A2" w14:paraId="0EAAE421" w14:textId="77777777" w:rsidTr="00695E1C">
        <w:tc>
          <w:tcPr>
            <w:tcW w:w="827" w:type="dxa"/>
          </w:tcPr>
          <w:p w14:paraId="7B86E52F" w14:textId="218F1F1C" w:rsidR="003C047E" w:rsidRDefault="003C047E" w:rsidP="005072D5">
            <w:r>
              <w:t>12.2</w:t>
            </w:r>
          </w:p>
        </w:tc>
        <w:tc>
          <w:tcPr>
            <w:tcW w:w="8671" w:type="dxa"/>
          </w:tcPr>
          <w:p w14:paraId="1E314F7E" w14:textId="12C45FB8" w:rsidR="003C047E" w:rsidRDefault="003C047E" w:rsidP="003C047E">
            <w:r>
              <w:t>The Minute of Agreement was signed by both Chairs at the joint Board member event on 9</w:t>
            </w:r>
            <w:r w:rsidRPr="00B76175">
              <w:rPr>
                <w:vertAlign w:val="superscript"/>
              </w:rPr>
              <w:t>th</w:t>
            </w:r>
            <w:r>
              <w:t xml:space="preserve"> April and Board members also considered and discussed the proposed projects for the period 2025-2030.  At a joint meeting of MHA and QCHA managers on 1</w:t>
            </w:r>
            <w:r w:rsidRPr="00B76175">
              <w:rPr>
                <w:vertAlign w:val="superscript"/>
              </w:rPr>
              <w:t>st</w:t>
            </w:r>
            <w:r>
              <w:t xml:space="preserve"> May</w:t>
            </w:r>
            <w:r w:rsidR="00D466EB">
              <w:t>,</w:t>
            </w:r>
            <w:r>
              <w:t xml:space="preserve"> further consideration was given to the proposed projects including the feedback from the 9</w:t>
            </w:r>
            <w:r w:rsidRPr="00B76175">
              <w:rPr>
                <w:vertAlign w:val="superscript"/>
              </w:rPr>
              <w:t>th</w:t>
            </w:r>
            <w:r>
              <w:t xml:space="preserve"> April event to produce the final project plan.  </w:t>
            </w:r>
          </w:p>
          <w:p w14:paraId="01132760" w14:textId="77777777" w:rsidR="003C047E" w:rsidRDefault="003C047E" w:rsidP="00FE5914">
            <w:pPr>
              <w:pStyle w:val="Heading1"/>
              <w:tabs>
                <w:tab w:val="left" w:pos="1390"/>
              </w:tabs>
              <w:rPr>
                <w:b w:val="0"/>
                <w:bCs w:val="0"/>
                <w:u w:val="none"/>
              </w:rPr>
            </w:pPr>
          </w:p>
        </w:tc>
        <w:tc>
          <w:tcPr>
            <w:tcW w:w="1230" w:type="dxa"/>
          </w:tcPr>
          <w:p w14:paraId="56DA458C" w14:textId="77777777" w:rsidR="003C047E" w:rsidRPr="00D609A2" w:rsidRDefault="003C047E" w:rsidP="005072D5">
            <w:pPr>
              <w:jc w:val="center"/>
            </w:pPr>
          </w:p>
        </w:tc>
      </w:tr>
      <w:tr w:rsidR="003C047E" w:rsidRPr="00D609A2" w14:paraId="5919EFCE" w14:textId="77777777" w:rsidTr="00695E1C">
        <w:tc>
          <w:tcPr>
            <w:tcW w:w="827" w:type="dxa"/>
          </w:tcPr>
          <w:p w14:paraId="36908FA3" w14:textId="6F549E03" w:rsidR="003C047E" w:rsidRDefault="003C047E" w:rsidP="005072D5">
            <w:r>
              <w:t>12.3</w:t>
            </w:r>
          </w:p>
        </w:tc>
        <w:tc>
          <w:tcPr>
            <w:tcW w:w="8671" w:type="dxa"/>
          </w:tcPr>
          <w:p w14:paraId="237328DD" w14:textId="3930CD02" w:rsidR="00D466EB" w:rsidRDefault="003C047E" w:rsidP="00D466EB">
            <w:pPr>
              <w:pStyle w:val="Heading1"/>
              <w:tabs>
                <w:tab w:val="left" w:pos="1390"/>
              </w:tabs>
              <w:rPr>
                <w:b w:val="0"/>
                <w:bCs w:val="0"/>
                <w:u w:val="none"/>
              </w:rPr>
            </w:pPr>
            <w:r>
              <w:rPr>
                <w:b w:val="0"/>
                <w:bCs w:val="0"/>
                <w:u w:val="none"/>
              </w:rPr>
              <w:t xml:space="preserve">The Board </w:t>
            </w:r>
            <w:r w:rsidR="00D466EB">
              <w:rPr>
                <w:b w:val="0"/>
                <w:bCs w:val="0"/>
                <w:u w:val="none"/>
              </w:rPr>
              <w:t xml:space="preserve">was invited to approve </w:t>
            </w:r>
            <w:r>
              <w:rPr>
                <w:b w:val="0"/>
                <w:bCs w:val="0"/>
                <w:u w:val="none"/>
              </w:rPr>
              <w:t xml:space="preserve">the steering group action plan and remit as laid out in appendices 1 </w:t>
            </w:r>
            <w:r w:rsidR="00D466EB">
              <w:rPr>
                <w:b w:val="0"/>
                <w:bCs w:val="0"/>
                <w:u w:val="none"/>
              </w:rPr>
              <w:t>and</w:t>
            </w:r>
            <w:r>
              <w:rPr>
                <w:b w:val="0"/>
                <w:bCs w:val="0"/>
                <w:u w:val="none"/>
              </w:rPr>
              <w:t xml:space="preserve"> 2. </w:t>
            </w:r>
            <w:r w:rsidR="00C47DF3" w:rsidRPr="00D466EB">
              <w:rPr>
                <w:b w:val="0"/>
                <w:u w:val="none"/>
              </w:rPr>
              <w:t xml:space="preserve">The Board had no questions and approved the action plan and steering group remit. </w:t>
            </w:r>
            <w:r w:rsidR="00C47DF3">
              <w:rPr>
                <w:b w:val="0"/>
                <w:u w:val="none"/>
              </w:rPr>
              <w:t>And noted that t</w:t>
            </w:r>
            <w:r w:rsidR="00C47DF3" w:rsidRPr="00D466EB">
              <w:rPr>
                <w:b w:val="0"/>
                <w:bCs w:val="0"/>
                <w:u w:val="none"/>
              </w:rPr>
              <w:t>he first</w:t>
            </w:r>
            <w:r w:rsidR="00C47DF3">
              <w:rPr>
                <w:b w:val="0"/>
                <w:bCs w:val="0"/>
                <w:u w:val="none"/>
              </w:rPr>
              <w:t xml:space="preserve"> meeting of the steering group will take place on 10</w:t>
            </w:r>
            <w:r w:rsidR="00C47DF3" w:rsidRPr="003C047E">
              <w:rPr>
                <w:b w:val="0"/>
                <w:bCs w:val="0"/>
                <w:u w:val="none"/>
                <w:vertAlign w:val="superscript"/>
              </w:rPr>
              <w:t>th</w:t>
            </w:r>
            <w:r w:rsidR="00C47DF3">
              <w:rPr>
                <w:b w:val="0"/>
                <w:bCs w:val="0"/>
                <w:u w:val="none"/>
              </w:rPr>
              <w:t xml:space="preserve"> June.</w:t>
            </w:r>
          </w:p>
          <w:p w14:paraId="62E3200D" w14:textId="5EB36694" w:rsidR="003C047E" w:rsidRDefault="003C047E" w:rsidP="00D466EB">
            <w:pPr>
              <w:pStyle w:val="Heading1"/>
              <w:tabs>
                <w:tab w:val="left" w:pos="1390"/>
              </w:tabs>
              <w:rPr>
                <w:b w:val="0"/>
                <w:bCs w:val="0"/>
                <w:u w:val="none"/>
              </w:rPr>
            </w:pPr>
            <w:r>
              <w:rPr>
                <w:b w:val="0"/>
                <w:bCs w:val="0"/>
                <w:u w:val="none"/>
              </w:rPr>
              <w:t xml:space="preserve"> </w:t>
            </w:r>
          </w:p>
        </w:tc>
        <w:tc>
          <w:tcPr>
            <w:tcW w:w="1230" w:type="dxa"/>
          </w:tcPr>
          <w:p w14:paraId="3E5189A2" w14:textId="77777777" w:rsidR="003C047E" w:rsidRPr="00D609A2" w:rsidRDefault="003C047E" w:rsidP="005072D5">
            <w:pPr>
              <w:jc w:val="center"/>
            </w:pPr>
          </w:p>
        </w:tc>
      </w:tr>
      <w:tr w:rsidR="00453492" w:rsidRPr="00D609A2" w14:paraId="57A89F77" w14:textId="77777777" w:rsidTr="00695E1C">
        <w:tc>
          <w:tcPr>
            <w:tcW w:w="827" w:type="dxa"/>
          </w:tcPr>
          <w:p w14:paraId="0B9136F0" w14:textId="21E4EB14" w:rsidR="00453492" w:rsidRPr="00453492" w:rsidRDefault="00453492" w:rsidP="005072D5">
            <w:pPr>
              <w:rPr>
                <w:b/>
                <w:bCs/>
              </w:rPr>
            </w:pPr>
            <w:r>
              <w:rPr>
                <w:b/>
                <w:bCs/>
              </w:rPr>
              <w:t>13.0</w:t>
            </w:r>
          </w:p>
        </w:tc>
        <w:tc>
          <w:tcPr>
            <w:tcW w:w="8671" w:type="dxa"/>
          </w:tcPr>
          <w:p w14:paraId="12CF5536" w14:textId="77777777" w:rsidR="00453492" w:rsidRDefault="00453492" w:rsidP="00FE5914">
            <w:pPr>
              <w:pStyle w:val="Heading1"/>
              <w:tabs>
                <w:tab w:val="left" w:pos="1390"/>
              </w:tabs>
            </w:pPr>
            <w:r>
              <w:t>UPDATE FROM AUDIT COMMITTEE</w:t>
            </w:r>
          </w:p>
          <w:p w14:paraId="5CF55879" w14:textId="7E75768D" w:rsidR="00453492" w:rsidRPr="00453492" w:rsidRDefault="00453492" w:rsidP="00453492">
            <w:pPr>
              <w:rPr>
                <w:b/>
                <w:bCs/>
                <w:u w:val="single"/>
              </w:rPr>
            </w:pPr>
          </w:p>
        </w:tc>
        <w:tc>
          <w:tcPr>
            <w:tcW w:w="1230" w:type="dxa"/>
          </w:tcPr>
          <w:p w14:paraId="4B5003A5" w14:textId="77777777" w:rsidR="00453492" w:rsidRPr="00D609A2" w:rsidRDefault="00453492" w:rsidP="005072D5">
            <w:pPr>
              <w:jc w:val="center"/>
            </w:pPr>
          </w:p>
        </w:tc>
      </w:tr>
      <w:tr w:rsidR="00453492" w:rsidRPr="00D609A2" w14:paraId="42B87D46" w14:textId="77777777" w:rsidTr="00695E1C">
        <w:tc>
          <w:tcPr>
            <w:tcW w:w="827" w:type="dxa"/>
          </w:tcPr>
          <w:p w14:paraId="398DFE4A" w14:textId="711002E6" w:rsidR="00453492" w:rsidRDefault="00453492" w:rsidP="005072D5">
            <w:r>
              <w:t>13.1</w:t>
            </w:r>
          </w:p>
        </w:tc>
        <w:tc>
          <w:tcPr>
            <w:tcW w:w="8671" w:type="dxa"/>
          </w:tcPr>
          <w:p w14:paraId="2FC88EF0" w14:textId="4335B55F" w:rsidR="00453492" w:rsidRDefault="00453492" w:rsidP="00C47DF3">
            <w:r>
              <w:t>The purpose of this report was to provide the Board with a</w:t>
            </w:r>
            <w:r w:rsidR="00C47DF3">
              <w:t xml:space="preserve"> verbal</w:t>
            </w:r>
            <w:r>
              <w:t xml:space="preserve"> update from the Audit committee meeting on 6 May 2025.  </w:t>
            </w:r>
            <w:r w:rsidR="00C47DF3">
              <w:t xml:space="preserve">The minutes are available in the board </w:t>
            </w:r>
            <w:proofErr w:type="spellStart"/>
            <w:proofErr w:type="gramStart"/>
            <w:r w:rsidR="00C47DF3">
              <w:t>portal.</w:t>
            </w:r>
            <w:r>
              <w:t>This</w:t>
            </w:r>
            <w:proofErr w:type="spellEnd"/>
            <w:proofErr w:type="gramEnd"/>
            <w:r>
              <w:t xml:space="preserve"> report was provided by John McIntyre, Chair of the Audit Committee.  </w:t>
            </w:r>
            <w:r w:rsidR="00C47DF3">
              <w:t xml:space="preserve">At their meeting on 6 May 2025 the committee received a good update from David Dick, IT Manager, a follow up report from TIAA setting out action points.  The committee also reviewed the annual planning memorandum for the external audit which was agreed.    </w:t>
            </w:r>
          </w:p>
          <w:p w14:paraId="176120B2" w14:textId="0F6A0AC9" w:rsidR="00C47DF3" w:rsidRDefault="00C47DF3" w:rsidP="00C47DF3"/>
        </w:tc>
        <w:tc>
          <w:tcPr>
            <w:tcW w:w="1230" w:type="dxa"/>
          </w:tcPr>
          <w:p w14:paraId="04300EE8" w14:textId="77777777" w:rsidR="00453492" w:rsidRPr="00D609A2" w:rsidRDefault="00453492" w:rsidP="005072D5">
            <w:pPr>
              <w:jc w:val="center"/>
            </w:pPr>
          </w:p>
        </w:tc>
      </w:tr>
      <w:tr w:rsidR="00453492" w:rsidRPr="00D609A2" w14:paraId="428A01FA" w14:textId="77777777" w:rsidTr="00695E1C">
        <w:tc>
          <w:tcPr>
            <w:tcW w:w="827" w:type="dxa"/>
          </w:tcPr>
          <w:p w14:paraId="0B881122" w14:textId="00934F2C" w:rsidR="00453492" w:rsidRPr="00453492" w:rsidRDefault="00453492" w:rsidP="005072D5">
            <w:pPr>
              <w:rPr>
                <w:b/>
                <w:bCs/>
              </w:rPr>
            </w:pPr>
            <w:r>
              <w:rPr>
                <w:b/>
                <w:bCs/>
              </w:rPr>
              <w:t>14.0</w:t>
            </w:r>
          </w:p>
        </w:tc>
        <w:tc>
          <w:tcPr>
            <w:tcW w:w="8671" w:type="dxa"/>
          </w:tcPr>
          <w:p w14:paraId="0A78AF52" w14:textId="6EA15D7F" w:rsidR="00453492" w:rsidRDefault="004506EF" w:rsidP="003E7642">
            <w:pPr>
              <w:rPr>
                <w:b/>
                <w:bCs/>
                <w:u w:val="single"/>
              </w:rPr>
            </w:pPr>
            <w:r>
              <w:rPr>
                <w:b/>
                <w:bCs/>
                <w:u w:val="single"/>
              </w:rPr>
              <w:t>UPDATE FROM RENUMERATION COMMITTEE</w:t>
            </w:r>
          </w:p>
          <w:p w14:paraId="7E05EEC9" w14:textId="153FC263" w:rsidR="00453492" w:rsidRPr="00453492" w:rsidRDefault="00453492" w:rsidP="003E7642">
            <w:pPr>
              <w:rPr>
                <w:b/>
                <w:bCs/>
                <w:u w:val="single"/>
              </w:rPr>
            </w:pPr>
          </w:p>
        </w:tc>
        <w:tc>
          <w:tcPr>
            <w:tcW w:w="1230" w:type="dxa"/>
          </w:tcPr>
          <w:p w14:paraId="44A68004" w14:textId="77777777" w:rsidR="00453492" w:rsidRPr="00D609A2" w:rsidRDefault="00453492" w:rsidP="005072D5">
            <w:pPr>
              <w:jc w:val="center"/>
            </w:pPr>
          </w:p>
        </w:tc>
      </w:tr>
      <w:tr w:rsidR="00453492" w:rsidRPr="00D609A2" w14:paraId="6E849F59" w14:textId="77777777" w:rsidTr="00695E1C">
        <w:tc>
          <w:tcPr>
            <w:tcW w:w="827" w:type="dxa"/>
          </w:tcPr>
          <w:p w14:paraId="57681D89" w14:textId="2E0C5782" w:rsidR="00453492" w:rsidRDefault="00453492" w:rsidP="005072D5">
            <w:r>
              <w:t>14.1</w:t>
            </w:r>
          </w:p>
        </w:tc>
        <w:tc>
          <w:tcPr>
            <w:tcW w:w="8671" w:type="dxa"/>
          </w:tcPr>
          <w:p w14:paraId="0D7C32FC" w14:textId="3F665D7F" w:rsidR="00453492" w:rsidRDefault="00453492" w:rsidP="00453492">
            <w:r>
              <w:t xml:space="preserve">The purpose of this report was to provide the Board with an update from the Renumeration Committee meeting on 7 May 2025.  This report was provided by </w:t>
            </w:r>
            <w:r w:rsidR="00285A7E">
              <w:t>Andrew Burns, Chair</w:t>
            </w:r>
            <w:r>
              <w:t xml:space="preserve">.  </w:t>
            </w:r>
          </w:p>
          <w:p w14:paraId="5041F852" w14:textId="4829FA82" w:rsidR="00453492" w:rsidRDefault="00453492" w:rsidP="003E7642"/>
        </w:tc>
        <w:tc>
          <w:tcPr>
            <w:tcW w:w="1230" w:type="dxa"/>
          </w:tcPr>
          <w:p w14:paraId="0DE03CAE" w14:textId="77777777" w:rsidR="00453492" w:rsidRPr="00D609A2" w:rsidRDefault="00453492" w:rsidP="005072D5">
            <w:pPr>
              <w:jc w:val="center"/>
            </w:pPr>
          </w:p>
        </w:tc>
      </w:tr>
      <w:tr w:rsidR="00285A7E" w:rsidRPr="00D609A2" w14:paraId="60FA6CC4" w14:textId="77777777" w:rsidTr="00695E1C">
        <w:tc>
          <w:tcPr>
            <w:tcW w:w="827" w:type="dxa"/>
          </w:tcPr>
          <w:p w14:paraId="7F8F4565" w14:textId="2A34E134" w:rsidR="00285A7E" w:rsidRDefault="00285A7E" w:rsidP="005072D5">
            <w:r>
              <w:t>14.1</w:t>
            </w:r>
          </w:p>
        </w:tc>
        <w:tc>
          <w:tcPr>
            <w:tcW w:w="8671" w:type="dxa"/>
          </w:tcPr>
          <w:p w14:paraId="38268DC6" w14:textId="34DF3B47" w:rsidR="00285A7E" w:rsidRDefault="00285A7E" w:rsidP="003E7642">
            <w:r>
              <w:t xml:space="preserve">Andrew provided a summary of the Renumeration Committee remit, </w:t>
            </w:r>
            <w:r w:rsidR="00497AF6">
              <w:t>reviewing</w:t>
            </w:r>
            <w:r>
              <w:t xml:space="preserve"> senior leadership pay </w:t>
            </w:r>
            <w:r w:rsidR="00497AF6">
              <w:t xml:space="preserve">award </w:t>
            </w:r>
            <w:r>
              <w:t xml:space="preserve">and </w:t>
            </w:r>
            <w:r w:rsidR="00497AF6">
              <w:t xml:space="preserve">completing </w:t>
            </w:r>
            <w:r>
              <w:t xml:space="preserve">the annual CEO </w:t>
            </w:r>
            <w:r w:rsidR="00B32E97">
              <w:t xml:space="preserve">performance </w:t>
            </w:r>
            <w:r>
              <w:t>appraisal</w:t>
            </w:r>
            <w:r w:rsidR="00B32E97">
              <w:t>.  The performance appraisal includes a review of the previous year’s performance which had met expected standards, setting objectives for the following year and ensuring continuous professional development</w:t>
            </w:r>
            <w:r>
              <w:t xml:space="preserve">.  </w:t>
            </w:r>
          </w:p>
          <w:p w14:paraId="366621D6" w14:textId="26ED01F4" w:rsidR="00285A7E" w:rsidRDefault="00285A7E" w:rsidP="003E7642"/>
        </w:tc>
        <w:tc>
          <w:tcPr>
            <w:tcW w:w="1230" w:type="dxa"/>
          </w:tcPr>
          <w:p w14:paraId="072CE92F" w14:textId="77777777" w:rsidR="00285A7E" w:rsidRPr="00D609A2" w:rsidRDefault="00285A7E" w:rsidP="005072D5">
            <w:pPr>
              <w:jc w:val="center"/>
            </w:pPr>
          </w:p>
        </w:tc>
      </w:tr>
      <w:tr w:rsidR="00285A7E" w:rsidRPr="00D609A2" w14:paraId="11F1829E" w14:textId="77777777" w:rsidTr="00695E1C">
        <w:tc>
          <w:tcPr>
            <w:tcW w:w="827" w:type="dxa"/>
          </w:tcPr>
          <w:p w14:paraId="7ACDE116" w14:textId="6F434211" w:rsidR="00285A7E" w:rsidRDefault="00285A7E" w:rsidP="005072D5">
            <w:r>
              <w:t>14.</w:t>
            </w:r>
            <w:r w:rsidR="00B32E97">
              <w:t>2</w:t>
            </w:r>
          </w:p>
        </w:tc>
        <w:tc>
          <w:tcPr>
            <w:tcW w:w="8671" w:type="dxa"/>
          </w:tcPr>
          <w:p w14:paraId="1EDD0F59" w14:textId="36C0874D" w:rsidR="00285A7E" w:rsidRDefault="00285A7E" w:rsidP="003E7642">
            <w:r>
              <w:t xml:space="preserve">The annual CEO appraisal was carried out by Office Bearers and supported by an external </w:t>
            </w:r>
            <w:r w:rsidR="00B32E97">
              <w:t xml:space="preserve">and independent </w:t>
            </w:r>
            <w:r>
              <w:t xml:space="preserve">consultant, Philippa Bonella.    A report on the process was provided to the committee by Philippa.  Office Bearers noted that they found </w:t>
            </w:r>
            <w:r w:rsidR="00497AF6">
              <w:t>the support provided in carrying out the review very helpful.</w:t>
            </w:r>
            <w:r>
              <w:t xml:space="preserve">  </w:t>
            </w:r>
          </w:p>
          <w:p w14:paraId="474115B5" w14:textId="2C176718" w:rsidR="00285A7E" w:rsidRDefault="00285A7E" w:rsidP="003E7642"/>
        </w:tc>
        <w:tc>
          <w:tcPr>
            <w:tcW w:w="1230" w:type="dxa"/>
          </w:tcPr>
          <w:p w14:paraId="26EA9F64" w14:textId="77777777" w:rsidR="00285A7E" w:rsidRPr="00D609A2" w:rsidRDefault="00285A7E" w:rsidP="005072D5">
            <w:pPr>
              <w:jc w:val="center"/>
            </w:pPr>
          </w:p>
        </w:tc>
      </w:tr>
      <w:tr w:rsidR="00B32E97" w:rsidRPr="00D609A2" w14:paraId="2F1F7F4B" w14:textId="77777777" w:rsidTr="00695E1C">
        <w:tc>
          <w:tcPr>
            <w:tcW w:w="827" w:type="dxa"/>
          </w:tcPr>
          <w:p w14:paraId="55514FCD" w14:textId="10F4584D" w:rsidR="00B32E97" w:rsidRDefault="00B32E97" w:rsidP="005072D5">
            <w:r>
              <w:t>14.3</w:t>
            </w:r>
          </w:p>
        </w:tc>
        <w:tc>
          <w:tcPr>
            <w:tcW w:w="8671" w:type="dxa"/>
          </w:tcPr>
          <w:p w14:paraId="66633B82" w14:textId="7193D742" w:rsidR="00B32E97" w:rsidRDefault="00B32E97" w:rsidP="00B32E97">
            <w:r>
              <w:t xml:space="preserve">The committee recommended that senior staff members not already at the top of the scale move up an increment as objectives had been met.   </w:t>
            </w:r>
          </w:p>
          <w:p w14:paraId="2B6F5EF0" w14:textId="77777777" w:rsidR="00B32E97" w:rsidRDefault="00B32E97" w:rsidP="003E7642"/>
        </w:tc>
        <w:tc>
          <w:tcPr>
            <w:tcW w:w="1230" w:type="dxa"/>
          </w:tcPr>
          <w:p w14:paraId="6A99F381" w14:textId="77777777" w:rsidR="00B32E97" w:rsidRPr="00D609A2" w:rsidRDefault="00B32E97" w:rsidP="005072D5">
            <w:pPr>
              <w:jc w:val="center"/>
            </w:pPr>
          </w:p>
        </w:tc>
      </w:tr>
      <w:tr w:rsidR="005072D5" w:rsidRPr="00D609A2" w14:paraId="3F016D32" w14:textId="77777777" w:rsidTr="00695E1C">
        <w:tc>
          <w:tcPr>
            <w:tcW w:w="827" w:type="dxa"/>
          </w:tcPr>
          <w:p w14:paraId="59707DF4" w14:textId="09056F01" w:rsidR="005072D5" w:rsidRPr="005072D5" w:rsidRDefault="005072D5" w:rsidP="005072D5">
            <w:pPr>
              <w:rPr>
                <w:b/>
              </w:rPr>
            </w:pPr>
            <w:r>
              <w:rPr>
                <w:b/>
              </w:rPr>
              <w:lastRenderedPageBreak/>
              <w:t>11.0</w:t>
            </w:r>
          </w:p>
        </w:tc>
        <w:tc>
          <w:tcPr>
            <w:tcW w:w="8671" w:type="dxa"/>
          </w:tcPr>
          <w:p w14:paraId="1EA62654" w14:textId="189284FE" w:rsidR="005072D5" w:rsidRDefault="004506EF" w:rsidP="005072D5">
            <w:pPr>
              <w:pStyle w:val="NoSpacing"/>
              <w:rPr>
                <w:rFonts w:ascii="Arial Bold" w:hAnsi="Arial Bold" w:cs="Arial"/>
                <w:b/>
                <w:u w:val="single"/>
              </w:rPr>
            </w:pPr>
            <w:r>
              <w:rPr>
                <w:rFonts w:ascii="Arial Bold" w:hAnsi="Arial Bold" w:cs="Arial"/>
                <w:b/>
                <w:u w:val="single"/>
              </w:rPr>
              <w:t>HEALTH AND SAFETY</w:t>
            </w:r>
          </w:p>
          <w:p w14:paraId="4B9CE995" w14:textId="77777777" w:rsidR="005072D5" w:rsidRDefault="005072D5" w:rsidP="005072D5">
            <w:pPr>
              <w:pStyle w:val="Heading1"/>
            </w:pPr>
          </w:p>
        </w:tc>
        <w:tc>
          <w:tcPr>
            <w:tcW w:w="1230" w:type="dxa"/>
          </w:tcPr>
          <w:p w14:paraId="5DB9E134" w14:textId="77777777" w:rsidR="005072D5" w:rsidRPr="00D609A2" w:rsidRDefault="005072D5" w:rsidP="005072D5">
            <w:pPr>
              <w:jc w:val="center"/>
            </w:pPr>
          </w:p>
        </w:tc>
      </w:tr>
      <w:tr w:rsidR="00873DA6" w:rsidRPr="00D609A2" w14:paraId="71D3BDFD" w14:textId="77777777" w:rsidTr="00695E1C">
        <w:tc>
          <w:tcPr>
            <w:tcW w:w="827" w:type="dxa"/>
          </w:tcPr>
          <w:p w14:paraId="6E92783F" w14:textId="45234F16" w:rsidR="00873DA6" w:rsidRDefault="00873DA6" w:rsidP="005072D5">
            <w:r>
              <w:t>11.1</w:t>
            </w:r>
          </w:p>
        </w:tc>
        <w:tc>
          <w:tcPr>
            <w:tcW w:w="8671" w:type="dxa"/>
          </w:tcPr>
          <w:p w14:paraId="1D7393C1" w14:textId="1B4B6416" w:rsidR="00873DA6" w:rsidRDefault="00873DA6" w:rsidP="001D60ED">
            <w:pPr>
              <w:pStyle w:val="NoSpacing"/>
              <w:rPr>
                <w:rFonts w:ascii="Arial" w:hAnsi="Arial" w:cs="Arial"/>
              </w:rPr>
            </w:pPr>
            <w:r>
              <w:rPr>
                <w:rFonts w:ascii="Arial" w:hAnsi="Arial" w:cs="Arial"/>
              </w:rPr>
              <w:t xml:space="preserve">The annual Health &amp; Safety report from Jim Tassell, external consultant was available on the Board portal.    This report was presented by Phil Daws, Director of Property, Enterprise &amp; Regeneration.  </w:t>
            </w:r>
          </w:p>
          <w:p w14:paraId="041C0C64" w14:textId="3285BDC5" w:rsidR="00873DA6" w:rsidRDefault="00873DA6" w:rsidP="001D60ED">
            <w:pPr>
              <w:pStyle w:val="NoSpacing"/>
              <w:rPr>
                <w:rFonts w:ascii="Arial" w:hAnsi="Arial" w:cs="Arial"/>
              </w:rPr>
            </w:pPr>
          </w:p>
        </w:tc>
        <w:tc>
          <w:tcPr>
            <w:tcW w:w="1230" w:type="dxa"/>
          </w:tcPr>
          <w:p w14:paraId="43140369" w14:textId="77777777" w:rsidR="00873DA6" w:rsidRPr="00D609A2" w:rsidRDefault="00873DA6" w:rsidP="005072D5">
            <w:pPr>
              <w:jc w:val="center"/>
            </w:pPr>
          </w:p>
        </w:tc>
      </w:tr>
      <w:tr w:rsidR="00873DA6" w:rsidRPr="00D609A2" w14:paraId="4F782176" w14:textId="77777777" w:rsidTr="00695E1C">
        <w:tc>
          <w:tcPr>
            <w:tcW w:w="827" w:type="dxa"/>
          </w:tcPr>
          <w:p w14:paraId="6AE358AE" w14:textId="7937A897" w:rsidR="00873DA6" w:rsidRDefault="00873DA6" w:rsidP="005072D5">
            <w:r>
              <w:t>11.2</w:t>
            </w:r>
          </w:p>
        </w:tc>
        <w:tc>
          <w:tcPr>
            <w:tcW w:w="8671" w:type="dxa"/>
          </w:tcPr>
          <w:p w14:paraId="0D41C885" w14:textId="2FB649B8" w:rsidR="002578FC" w:rsidRDefault="00B32E97" w:rsidP="00B32E97">
            <w:pPr>
              <w:pStyle w:val="NoSpacing"/>
              <w:rPr>
                <w:rFonts w:ascii="Arial" w:hAnsi="Arial" w:cs="Arial"/>
              </w:rPr>
            </w:pPr>
            <w:r>
              <w:rPr>
                <w:rFonts w:ascii="Arial" w:hAnsi="Arial" w:cs="Arial"/>
              </w:rPr>
              <w:t>The Board noted that page 6 of the report</w:t>
            </w:r>
            <w:r w:rsidR="00873DA6">
              <w:rPr>
                <w:rFonts w:ascii="Arial" w:hAnsi="Arial" w:cs="Arial"/>
              </w:rPr>
              <w:t xml:space="preserve"> summarise</w:t>
            </w:r>
            <w:r>
              <w:rPr>
                <w:rFonts w:ascii="Arial" w:hAnsi="Arial" w:cs="Arial"/>
              </w:rPr>
              <w:t>d</w:t>
            </w:r>
            <w:r w:rsidR="00873DA6">
              <w:rPr>
                <w:rFonts w:ascii="Arial" w:hAnsi="Arial" w:cs="Arial"/>
              </w:rPr>
              <w:t xml:space="preserve"> the number of </w:t>
            </w:r>
            <w:proofErr w:type="gramStart"/>
            <w:r w:rsidR="00873DA6">
              <w:rPr>
                <w:rFonts w:ascii="Arial" w:hAnsi="Arial" w:cs="Arial"/>
              </w:rPr>
              <w:t>priority</w:t>
            </w:r>
            <w:proofErr w:type="gramEnd"/>
            <w:r w:rsidR="00873DA6">
              <w:rPr>
                <w:rFonts w:ascii="Arial" w:hAnsi="Arial" w:cs="Arial"/>
              </w:rPr>
              <w:t xml:space="preserve"> 1, 2 &amp; 3 recommendations which the H&amp;S committee will allocate to individuals at </w:t>
            </w:r>
            <w:proofErr w:type="gramStart"/>
            <w:r>
              <w:rPr>
                <w:rFonts w:ascii="Arial" w:hAnsi="Arial" w:cs="Arial"/>
              </w:rPr>
              <w:t xml:space="preserve">its </w:t>
            </w:r>
            <w:r w:rsidR="00873DA6">
              <w:rPr>
                <w:rFonts w:ascii="Arial" w:hAnsi="Arial" w:cs="Arial"/>
              </w:rPr>
              <w:t xml:space="preserve"> meeting</w:t>
            </w:r>
            <w:proofErr w:type="gramEnd"/>
            <w:r w:rsidR="00873DA6">
              <w:rPr>
                <w:rFonts w:ascii="Arial" w:hAnsi="Arial" w:cs="Arial"/>
              </w:rPr>
              <w:t xml:space="preserve"> on 17 June. </w:t>
            </w:r>
          </w:p>
          <w:p w14:paraId="2ECE0E1D" w14:textId="31726963" w:rsidR="00873DA6" w:rsidRDefault="00873DA6" w:rsidP="00B32E97">
            <w:pPr>
              <w:pStyle w:val="NoSpacing"/>
              <w:rPr>
                <w:rFonts w:ascii="Arial" w:hAnsi="Arial" w:cs="Arial"/>
              </w:rPr>
            </w:pPr>
            <w:r>
              <w:rPr>
                <w:rFonts w:ascii="Arial" w:hAnsi="Arial" w:cs="Arial"/>
              </w:rPr>
              <w:t xml:space="preserve"> </w:t>
            </w:r>
          </w:p>
        </w:tc>
        <w:tc>
          <w:tcPr>
            <w:tcW w:w="1230" w:type="dxa"/>
          </w:tcPr>
          <w:p w14:paraId="32004587" w14:textId="77777777" w:rsidR="00873DA6" w:rsidRPr="00D609A2" w:rsidRDefault="00873DA6" w:rsidP="005072D5">
            <w:pPr>
              <w:jc w:val="center"/>
            </w:pPr>
          </w:p>
        </w:tc>
      </w:tr>
      <w:tr w:rsidR="005072D5" w:rsidRPr="00D609A2" w14:paraId="75E4C79F" w14:textId="77777777" w:rsidTr="00695E1C">
        <w:tc>
          <w:tcPr>
            <w:tcW w:w="827" w:type="dxa"/>
          </w:tcPr>
          <w:p w14:paraId="2AA92C19" w14:textId="5D1FF081" w:rsidR="005072D5" w:rsidRDefault="005072D5" w:rsidP="005072D5">
            <w:r>
              <w:t>11.</w:t>
            </w:r>
            <w:r w:rsidR="00873DA6">
              <w:t>3</w:t>
            </w:r>
          </w:p>
        </w:tc>
        <w:tc>
          <w:tcPr>
            <w:tcW w:w="8671" w:type="dxa"/>
          </w:tcPr>
          <w:p w14:paraId="0A9EA37B" w14:textId="1A46C56E" w:rsidR="005072D5" w:rsidRDefault="00873DA6" w:rsidP="001D60ED">
            <w:pPr>
              <w:pStyle w:val="NoSpacing"/>
              <w:rPr>
                <w:rFonts w:ascii="Arial" w:hAnsi="Arial" w:cs="Arial"/>
              </w:rPr>
            </w:pPr>
            <w:r>
              <w:rPr>
                <w:rFonts w:ascii="Arial" w:hAnsi="Arial" w:cs="Arial"/>
              </w:rPr>
              <w:t xml:space="preserve">The </w:t>
            </w:r>
            <w:r w:rsidR="00B32E97">
              <w:rPr>
                <w:rFonts w:ascii="Arial" w:hAnsi="Arial" w:cs="Arial"/>
              </w:rPr>
              <w:t xml:space="preserve">report provided assurance on Health and Safety matters </w:t>
            </w:r>
            <w:r>
              <w:rPr>
                <w:rFonts w:ascii="Arial" w:hAnsi="Arial" w:cs="Arial"/>
              </w:rPr>
              <w:t xml:space="preserve">Board </w:t>
            </w:r>
            <w:r w:rsidR="00B32E97">
              <w:rPr>
                <w:rFonts w:ascii="Arial" w:hAnsi="Arial" w:cs="Arial"/>
              </w:rPr>
              <w:t xml:space="preserve">and had </w:t>
            </w:r>
            <w:r>
              <w:rPr>
                <w:rFonts w:ascii="Arial" w:hAnsi="Arial" w:cs="Arial"/>
              </w:rPr>
              <w:t>n</w:t>
            </w:r>
            <w:r w:rsidR="002E0428">
              <w:rPr>
                <w:rFonts w:ascii="Arial" w:hAnsi="Arial" w:cs="Arial"/>
              </w:rPr>
              <w:t xml:space="preserve">o </w:t>
            </w:r>
            <w:r w:rsidR="00B32E97">
              <w:rPr>
                <w:rFonts w:ascii="Arial" w:hAnsi="Arial" w:cs="Arial"/>
              </w:rPr>
              <w:t xml:space="preserve">further </w:t>
            </w:r>
            <w:r w:rsidR="002E0428">
              <w:rPr>
                <w:rFonts w:ascii="Arial" w:hAnsi="Arial" w:cs="Arial"/>
              </w:rPr>
              <w:t xml:space="preserve">questions </w:t>
            </w:r>
            <w:r>
              <w:rPr>
                <w:rFonts w:ascii="Arial" w:hAnsi="Arial" w:cs="Arial"/>
              </w:rPr>
              <w:t xml:space="preserve">on this report. </w:t>
            </w:r>
          </w:p>
          <w:p w14:paraId="370D954C" w14:textId="442881E0" w:rsidR="00873DA6" w:rsidRPr="001D60ED" w:rsidRDefault="00873DA6" w:rsidP="001D60ED">
            <w:pPr>
              <w:pStyle w:val="NoSpacing"/>
              <w:rPr>
                <w:rFonts w:ascii="Arial" w:hAnsi="Arial" w:cs="Arial"/>
              </w:rPr>
            </w:pPr>
          </w:p>
        </w:tc>
        <w:tc>
          <w:tcPr>
            <w:tcW w:w="1230" w:type="dxa"/>
          </w:tcPr>
          <w:p w14:paraId="1F2552C3" w14:textId="77777777" w:rsidR="005072D5" w:rsidRPr="00D609A2" w:rsidRDefault="005072D5" w:rsidP="005072D5">
            <w:pPr>
              <w:jc w:val="center"/>
            </w:pPr>
          </w:p>
        </w:tc>
      </w:tr>
      <w:tr w:rsidR="001D60ED" w:rsidRPr="00D609A2" w14:paraId="714E39DC" w14:textId="77777777" w:rsidTr="00695E1C">
        <w:tc>
          <w:tcPr>
            <w:tcW w:w="827" w:type="dxa"/>
          </w:tcPr>
          <w:p w14:paraId="51888CDE" w14:textId="2C8B33CD" w:rsidR="001D60ED" w:rsidRPr="001D60ED" w:rsidRDefault="001D60ED" w:rsidP="005072D5">
            <w:r>
              <w:rPr>
                <w:b/>
                <w:bCs/>
              </w:rPr>
              <w:t>1</w:t>
            </w:r>
            <w:r w:rsidR="005630D4">
              <w:rPr>
                <w:b/>
                <w:bCs/>
              </w:rPr>
              <w:t>4</w:t>
            </w:r>
            <w:r>
              <w:rPr>
                <w:b/>
                <w:bCs/>
              </w:rPr>
              <w:t>.0</w:t>
            </w:r>
            <w:r>
              <w:t xml:space="preserve"> </w:t>
            </w:r>
          </w:p>
        </w:tc>
        <w:tc>
          <w:tcPr>
            <w:tcW w:w="8671" w:type="dxa"/>
          </w:tcPr>
          <w:p w14:paraId="281CD754" w14:textId="16D0567B" w:rsidR="001D60ED" w:rsidRDefault="004506EF" w:rsidP="005072D5">
            <w:pPr>
              <w:pStyle w:val="Heading1"/>
              <w:rPr>
                <w:color w:val="FF0000"/>
              </w:rPr>
            </w:pPr>
            <w:r>
              <w:t>MINUTE OF MEETING NO</w:t>
            </w:r>
            <w:r w:rsidRPr="00873DA6">
              <w:t>. 699</w:t>
            </w:r>
          </w:p>
          <w:p w14:paraId="7E90FD55" w14:textId="06F60B51" w:rsidR="001D60ED" w:rsidRPr="001D60ED" w:rsidRDefault="001D60ED" w:rsidP="001D60ED"/>
        </w:tc>
        <w:tc>
          <w:tcPr>
            <w:tcW w:w="1230" w:type="dxa"/>
          </w:tcPr>
          <w:p w14:paraId="1B539A2C" w14:textId="77777777" w:rsidR="001D60ED" w:rsidRPr="00D609A2" w:rsidRDefault="001D60ED" w:rsidP="005072D5">
            <w:pPr>
              <w:jc w:val="center"/>
            </w:pPr>
          </w:p>
        </w:tc>
      </w:tr>
      <w:tr w:rsidR="00873DA6" w:rsidRPr="00D609A2" w14:paraId="0C50CDBA" w14:textId="77777777" w:rsidTr="00695E1C">
        <w:tc>
          <w:tcPr>
            <w:tcW w:w="827" w:type="dxa"/>
          </w:tcPr>
          <w:p w14:paraId="28891055" w14:textId="717B2DC5" w:rsidR="00873DA6" w:rsidRDefault="00873DA6" w:rsidP="005072D5">
            <w:r>
              <w:t>14.1</w:t>
            </w:r>
          </w:p>
        </w:tc>
        <w:tc>
          <w:tcPr>
            <w:tcW w:w="8671" w:type="dxa"/>
          </w:tcPr>
          <w:p w14:paraId="1748CA92" w14:textId="578C3605" w:rsidR="00873DA6" w:rsidRDefault="00873DA6" w:rsidP="005072D5">
            <w:pPr>
              <w:pStyle w:val="Heading1"/>
              <w:rPr>
                <w:b w:val="0"/>
                <w:bCs w:val="0"/>
                <w:u w:val="none"/>
              </w:rPr>
            </w:pPr>
            <w:r>
              <w:rPr>
                <w:b w:val="0"/>
                <w:bCs w:val="0"/>
                <w:u w:val="none"/>
              </w:rPr>
              <w:t>The minute of meeting no 699 w</w:t>
            </w:r>
            <w:r w:rsidR="001F0803">
              <w:rPr>
                <w:b w:val="0"/>
                <w:bCs w:val="0"/>
                <w:u w:val="none"/>
              </w:rPr>
              <w:t>as</w:t>
            </w:r>
            <w:r>
              <w:rPr>
                <w:b w:val="0"/>
                <w:bCs w:val="0"/>
                <w:u w:val="none"/>
              </w:rPr>
              <w:t xml:space="preserve"> reviewed for accuracy and matters arising.  </w:t>
            </w:r>
          </w:p>
          <w:p w14:paraId="2D445603" w14:textId="6902B0DE" w:rsidR="00873DA6" w:rsidRPr="00873DA6" w:rsidRDefault="00873DA6" w:rsidP="00873DA6"/>
        </w:tc>
        <w:tc>
          <w:tcPr>
            <w:tcW w:w="1230" w:type="dxa"/>
          </w:tcPr>
          <w:p w14:paraId="31A46F5B" w14:textId="77777777" w:rsidR="00873DA6" w:rsidRPr="00D609A2" w:rsidRDefault="00873DA6" w:rsidP="005072D5">
            <w:pPr>
              <w:jc w:val="center"/>
            </w:pPr>
          </w:p>
        </w:tc>
      </w:tr>
      <w:tr w:rsidR="00873DA6" w:rsidRPr="00D609A2" w14:paraId="02B4618F" w14:textId="77777777" w:rsidTr="00695E1C">
        <w:tc>
          <w:tcPr>
            <w:tcW w:w="827" w:type="dxa"/>
          </w:tcPr>
          <w:p w14:paraId="4351040E" w14:textId="01339D84" w:rsidR="00873DA6" w:rsidRDefault="00873DA6" w:rsidP="005072D5">
            <w:r>
              <w:t>14.</w:t>
            </w:r>
            <w:r w:rsidR="001F0803">
              <w:t>2</w:t>
            </w:r>
          </w:p>
        </w:tc>
        <w:tc>
          <w:tcPr>
            <w:tcW w:w="8671" w:type="dxa"/>
          </w:tcPr>
          <w:p w14:paraId="2305CCCE" w14:textId="3177AF48" w:rsidR="00873DA6" w:rsidRDefault="00873DA6" w:rsidP="005072D5">
            <w:pPr>
              <w:pStyle w:val="Heading1"/>
              <w:rPr>
                <w:b w:val="0"/>
                <w:bCs w:val="0"/>
                <w:u w:val="none"/>
              </w:rPr>
            </w:pPr>
            <w:r>
              <w:rPr>
                <w:b w:val="0"/>
                <w:bCs w:val="0"/>
                <w:u w:val="none"/>
              </w:rPr>
              <w:t>The minute w</w:t>
            </w:r>
            <w:r w:rsidR="001F0803">
              <w:rPr>
                <w:b w:val="0"/>
                <w:bCs w:val="0"/>
                <w:u w:val="none"/>
              </w:rPr>
              <w:t>as</w:t>
            </w:r>
            <w:r>
              <w:rPr>
                <w:b w:val="0"/>
                <w:bCs w:val="0"/>
                <w:u w:val="none"/>
              </w:rPr>
              <w:t xml:space="preserve"> proposed by John Dunn and seconded by Anne Ramsey. </w:t>
            </w:r>
          </w:p>
          <w:p w14:paraId="1615722B" w14:textId="68713BFC" w:rsidR="00873DA6" w:rsidRPr="00873DA6" w:rsidRDefault="00873DA6" w:rsidP="00873DA6"/>
        </w:tc>
        <w:tc>
          <w:tcPr>
            <w:tcW w:w="1230" w:type="dxa"/>
          </w:tcPr>
          <w:p w14:paraId="4FC9905F" w14:textId="77777777" w:rsidR="00873DA6" w:rsidRPr="00D609A2" w:rsidRDefault="00873DA6" w:rsidP="005072D5">
            <w:pPr>
              <w:jc w:val="center"/>
            </w:pPr>
          </w:p>
        </w:tc>
      </w:tr>
      <w:tr w:rsidR="001D60ED" w:rsidRPr="00D609A2" w14:paraId="1A96810A" w14:textId="77777777" w:rsidTr="00695E1C">
        <w:tc>
          <w:tcPr>
            <w:tcW w:w="827" w:type="dxa"/>
          </w:tcPr>
          <w:p w14:paraId="60DCA9CF" w14:textId="4A21CFB6" w:rsidR="001D60ED" w:rsidRPr="001D60ED" w:rsidRDefault="004506EF" w:rsidP="005072D5">
            <w:r>
              <w:rPr>
                <w:b/>
                <w:bCs/>
              </w:rPr>
              <w:t>15.0</w:t>
            </w:r>
          </w:p>
        </w:tc>
        <w:tc>
          <w:tcPr>
            <w:tcW w:w="8671" w:type="dxa"/>
          </w:tcPr>
          <w:p w14:paraId="7D6178C7" w14:textId="08083AD4" w:rsidR="001D60ED" w:rsidRDefault="004506EF" w:rsidP="005072D5">
            <w:pPr>
              <w:pStyle w:val="Heading1"/>
            </w:pPr>
            <w:r>
              <w:t>ACTION TRACKER</w:t>
            </w:r>
          </w:p>
          <w:p w14:paraId="0C6B5F3E" w14:textId="52FADF9D" w:rsidR="001D60ED" w:rsidRPr="001D60ED" w:rsidRDefault="001D60ED" w:rsidP="001D60ED"/>
        </w:tc>
        <w:tc>
          <w:tcPr>
            <w:tcW w:w="1230" w:type="dxa"/>
          </w:tcPr>
          <w:p w14:paraId="0E31765D" w14:textId="77777777" w:rsidR="001D60ED" w:rsidRPr="00D609A2" w:rsidRDefault="001D60ED" w:rsidP="005072D5">
            <w:pPr>
              <w:jc w:val="center"/>
            </w:pPr>
          </w:p>
        </w:tc>
      </w:tr>
      <w:tr w:rsidR="001D60ED" w:rsidRPr="00D609A2" w14:paraId="737A977D" w14:textId="77777777" w:rsidTr="00695E1C">
        <w:tc>
          <w:tcPr>
            <w:tcW w:w="827" w:type="dxa"/>
          </w:tcPr>
          <w:p w14:paraId="4B61EA7C" w14:textId="3DCC1080" w:rsidR="001D60ED" w:rsidRDefault="001D60ED" w:rsidP="005072D5">
            <w:r>
              <w:t>1</w:t>
            </w:r>
            <w:r w:rsidR="005630D4">
              <w:t>5</w:t>
            </w:r>
            <w:r>
              <w:t>.1</w:t>
            </w:r>
          </w:p>
        </w:tc>
        <w:tc>
          <w:tcPr>
            <w:tcW w:w="8671" w:type="dxa"/>
          </w:tcPr>
          <w:p w14:paraId="55C2C60C" w14:textId="6FF41701" w:rsidR="001D60ED" w:rsidRPr="00873DA6" w:rsidRDefault="00873DA6" w:rsidP="005072D5">
            <w:pPr>
              <w:pStyle w:val="Heading1"/>
              <w:rPr>
                <w:b w:val="0"/>
                <w:bCs w:val="0"/>
                <w:u w:val="none"/>
              </w:rPr>
            </w:pPr>
            <w:r>
              <w:rPr>
                <w:b w:val="0"/>
                <w:bCs w:val="0"/>
                <w:u w:val="none"/>
              </w:rPr>
              <w:t>Noted</w:t>
            </w:r>
          </w:p>
          <w:p w14:paraId="066D85DF" w14:textId="173B373C" w:rsidR="001D60ED" w:rsidRPr="001D60ED" w:rsidRDefault="001D60ED" w:rsidP="001D60ED"/>
        </w:tc>
        <w:tc>
          <w:tcPr>
            <w:tcW w:w="1230" w:type="dxa"/>
          </w:tcPr>
          <w:p w14:paraId="32B561ED" w14:textId="77777777" w:rsidR="001D60ED" w:rsidRPr="00D609A2" w:rsidRDefault="001D60ED" w:rsidP="005072D5">
            <w:pPr>
              <w:jc w:val="center"/>
            </w:pPr>
          </w:p>
        </w:tc>
      </w:tr>
      <w:tr w:rsidR="005072D5" w:rsidRPr="00D609A2" w14:paraId="18C97F1D" w14:textId="77777777" w:rsidTr="00695E1C">
        <w:tc>
          <w:tcPr>
            <w:tcW w:w="827" w:type="dxa"/>
          </w:tcPr>
          <w:p w14:paraId="7B8CBCFA" w14:textId="7B19BE54" w:rsidR="005072D5" w:rsidRPr="005072D5" w:rsidRDefault="005072D5" w:rsidP="005072D5">
            <w:pPr>
              <w:rPr>
                <w:b/>
              </w:rPr>
            </w:pPr>
            <w:r>
              <w:rPr>
                <w:b/>
              </w:rPr>
              <w:t>1</w:t>
            </w:r>
            <w:r w:rsidR="005630D4">
              <w:rPr>
                <w:b/>
              </w:rPr>
              <w:t>6</w:t>
            </w:r>
            <w:r>
              <w:rPr>
                <w:b/>
              </w:rPr>
              <w:t>.0</w:t>
            </w:r>
          </w:p>
        </w:tc>
        <w:tc>
          <w:tcPr>
            <w:tcW w:w="8671" w:type="dxa"/>
          </w:tcPr>
          <w:p w14:paraId="313ECAFB" w14:textId="77777777" w:rsidR="005072D5" w:rsidRDefault="00937D34" w:rsidP="00937D34">
            <w:pPr>
              <w:rPr>
                <w:b/>
                <w:bCs/>
                <w:u w:val="single"/>
              </w:rPr>
            </w:pPr>
            <w:r>
              <w:rPr>
                <w:b/>
                <w:bCs/>
                <w:u w:val="single"/>
              </w:rPr>
              <w:t>AOB</w:t>
            </w:r>
          </w:p>
          <w:p w14:paraId="613AC292" w14:textId="44CE166A" w:rsidR="00937D34" w:rsidRPr="00937D34" w:rsidRDefault="00937D34" w:rsidP="00937D34">
            <w:pPr>
              <w:rPr>
                <w:b/>
                <w:bCs/>
                <w:u w:val="single"/>
              </w:rPr>
            </w:pPr>
          </w:p>
        </w:tc>
        <w:tc>
          <w:tcPr>
            <w:tcW w:w="1230" w:type="dxa"/>
          </w:tcPr>
          <w:p w14:paraId="26474FB4" w14:textId="77777777" w:rsidR="005072D5" w:rsidRPr="00D609A2" w:rsidRDefault="005072D5" w:rsidP="005072D5">
            <w:pPr>
              <w:jc w:val="center"/>
            </w:pPr>
          </w:p>
        </w:tc>
      </w:tr>
      <w:tr w:rsidR="00937D34" w:rsidRPr="00D609A2" w14:paraId="32F54C87" w14:textId="77777777" w:rsidTr="00695E1C">
        <w:tc>
          <w:tcPr>
            <w:tcW w:w="827" w:type="dxa"/>
          </w:tcPr>
          <w:p w14:paraId="209F0447" w14:textId="29C115C4" w:rsidR="00937D34" w:rsidRPr="00937D34" w:rsidRDefault="00937D34" w:rsidP="005072D5">
            <w:pPr>
              <w:rPr>
                <w:bCs/>
              </w:rPr>
            </w:pPr>
            <w:r w:rsidRPr="00937D34">
              <w:rPr>
                <w:bCs/>
              </w:rPr>
              <w:t>1</w:t>
            </w:r>
            <w:r w:rsidR="005630D4">
              <w:rPr>
                <w:bCs/>
              </w:rPr>
              <w:t>6</w:t>
            </w:r>
            <w:r w:rsidRPr="00937D34">
              <w:rPr>
                <w:bCs/>
              </w:rPr>
              <w:t>.1</w:t>
            </w:r>
          </w:p>
        </w:tc>
        <w:tc>
          <w:tcPr>
            <w:tcW w:w="8671" w:type="dxa"/>
          </w:tcPr>
          <w:p w14:paraId="7A1DBD2B" w14:textId="791BE0A0" w:rsidR="00937D34" w:rsidRDefault="00470769" w:rsidP="00937D34">
            <w:r>
              <w:t xml:space="preserve">Fiona </w:t>
            </w:r>
            <w:r w:rsidR="007F4D5F">
              <w:t>Smith, Head of customer first provided a</w:t>
            </w:r>
            <w:r w:rsidR="001F0803">
              <w:t xml:space="preserve"> verbal</w:t>
            </w:r>
            <w:r>
              <w:t xml:space="preserve"> </w:t>
            </w:r>
            <w:r w:rsidR="007F4D5F">
              <w:t>update</w:t>
            </w:r>
            <w:r>
              <w:t xml:space="preserve"> on recruitment </w:t>
            </w:r>
            <w:r w:rsidR="001F0803">
              <w:t xml:space="preserve">and </w:t>
            </w:r>
            <w:r>
              <w:t>succession</w:t>
            </w:r>
            <w:r w:rsidR="000D2966">
              <w:t xml:space="preserve"> planning for the boards</w:t>
            </w:r>
            <w:r w:rsidR="007F4D5F">
              <w:t xml:space="preserve">. </w:t>
            </w:r>
            <w:r w:rsidR="001F0803">
              <w:t xml:space="preserve">The </w:t>
            </w:r>
            <w:r w:rsidR="000D2966">
              <w:t>B</w:t>
            </w:r>
            <w:r w:rsidR="001F0803">
              <w:t>oard noted that w</w:t>
            </w:r>
            <w:r w:rsidR="007F4D5F">
              <w:t>e are s</w:t>
            </w:r>
            <w:r>
              <w:t xml:space="preserve">till speaking </w:t>
            </w:r>
            <w:r w:rsidR="001F0803">
              <w:t xml:space="preserve">to </w:t>
            </w:r>
            <w:r>
              <w:t>potential</w:t>
            </w:r>
            <w:r w:rsidR="007F4D5F">
              <w:t xml:space="preserve"> candidates from the recruitment event.  </w:t>
            </w:r>
            <w:r w:rsidR="001F0803">
              <w:t>It was agreed that we should increase awareness amongst staff</w:t>
            </w:r>
            <w:r w:rsidR="0007063B">
              <w:t xml:space="preserve"> that we are community</w:t>
            </w:r>
            <w:r w:rsidR="00477438">
              <w:t>-</w:t>
            </w:r>
            <w:r w:rsidR="0007063B">
              <w:t xml:space="preserve"> based housing </w:t>
            </w:r>
            <w:r w:rsidR="007F4D5F">
              <w:t>association</w:t>
            </w:r>
            <w:r w:rsidR="0007063B">
              <w:t xml:space="preserve"> and </w:t>
            </w:r>
            <w:r w:rsidR="001F0803">
              <w:t>actively seeking tenants to sit on the board.</w:t>
            </w:r>
            <w:r w:rsidR="00477438">
              <w:t xml:space="preserve"> </w:t>
            </w:r>
            <w:r w:rsidR="001F0803">
              <w:t>Work is ongoing with the Association’s</w:t>
            </w:r>
            <w:r w:rsidR="0007063B">
              <w:t xml:space="preserve"> new L</w:t>
            </w:r>
            <w:r w:rsidR="001F0803">
              <w:t xml:space="preserve">earning and Development Officer to </w:t>
            </w:r>
            <w:r w:rsidR="0081327C">
              <w:t>include</w:t>
            </w:r>
            <w:r w:rsidR="001F0803">
              <w:t xml:space="preserve"> the history of the sector and the Association into a </w:t>
            </w:r>
            <w:r w:rsidR="0007063B">
              <w:t xml:space="preserve">corporate induction. </w:t>
            </w:r>
            <w:r>
              <w:t xml:space="preserve">  </w:t>
            </w:r>
          </w:p>
          <w:p w14:paraId="0F73DAB5" w14:textId="70474B39" w:rsidR="00937D34" w:rsidRPr="00937D34" w:rsidRDefault="00937D34" w:rsidP="00937D34"/>
        </w:tc>
        <w:tc>
          <w:tcPr>
            <w:tcW w:w="1230" w:type="dxa"/>
          </w:tcPr>
          <w:p w14:paraId="6A9A0D18" w14:textId="2413965A" w:rsidR="00937D34" w:rsidRPr="008C5B8B" w:rsidRDefault="008C5B8B" w:rsidP="005072D5">
            <w:pPr>
              <w:jc w:val="center"/>
              <w:rPr>
                <w:rFonts w:ascii="Arial Bold" w:hAnsi="Arial Bold"/>
                <w:b/>
              </w:rPr>
            </w:pPr>
            <w:r w:rsidRPr="008C5B8B">
              <w:rPr>
                <w:rFonts w:ascii="Arial Bold" w:hAnsi="Arial Bold"/>
                <w:b/>
              </w:rPr>
              <w:t xml:space="preserve">Fiona </w:t>
            </w:r>
          </w:p>
        </w:tc>
      </w:tr>
      <w:tr w:rsidR="00937D34" w:rsidRPr="00D609A2" w14:paraId="06A80C11" w14:textId="77777777" w:rsidTr="00695E1C">
        <w:tc>
          <w:tcPr>
            <w:tcW w:w="827" w:type="dxa"/>
          </w:tcPr>
          <w:p w14:paraId="368C951D" w14:textId="44586E55" w:rsidR="00937D34" w:rsidRDefault="00937D34" w:rsidP="005072D5">
            <w:pPr>
              <w:rPr>
                <w:b/>
              </w:rPr>
            </w:pPr>
            <w:r>
              <w:rPr>
                <w:b/>
              </w:rPr>
              <w:t>1</w:t>
            </w:r>
            <w:r w:rsidR="005630D4">
              <w:rPr>
                <w:b/>
              </w:rPr>
              <w:t>7</w:t>
            </w:r>
            <w:r>
              <w:rPr>
                <w:b/>
              </w:rPr>
              <w:t>.0</w:t>
            </w:r>
          </w:p>
        </w:tc>
        <w:tc>
          <w:tcPr>
            <w:tcW w:w="8671" w:type="dxa"/>
          </w:tcPr>
          <w:p w14:paraId="644B1E4A" w14:textId="39F7859D" w:rsidR="00937D34" w:rsidRDefault="004506EF" w:rsidP="00937D34">
            <w:pPr>
              <w:pStyle w:val="Heading1"/>
            </w:pPr>
            <w:r>
              <w:t>DATE AND TIME OF NEXT MEETING</w:t>
            </w:r>
          </w:p>
          <w:p w14:paraId="2545F695" w14:textId="77777777" w:rsidR="007F4D5F" w:rsidRPr="000B64E2" w:rsidRDefault="007F4D5F" w:rsidP="00937D34"/>
          <w:p w14:paraId="1C01EAAD" w14:textId="336EBB60" w:rsidR="00937D34" w:rsidRDefault="00937D34" w:rsidP="00937D34">
            <w:r w:rsidRPr="00E75AAA">
              <w:t xml:space="preserve">The meeting concluded at </w:t>
            </w:r>
            <w:r w:rsidR="007F4D5F" w:rsidRPr="007F4D5F">
              <w:rPr>
                <w:b/>
              </w:rPr>
              <w:t>8.30pm</w:t>
            </w:r>
            <w:r w:rsidRPr="007F4D5F">
              <w:t>.</w:t>
            </w:r>
          </w:p>
          <w:p w14:paraId="1094AE8A" w14:textId="77777777" w:rsidR="00937D34" w:rsidRDefault="00937D34" w:rsidP="00937D34"/>
          <w:p w14:paraId="32F8A6BF" w14:textId="759F4D36" w:rsidR="00937D34" w:rsidRDefault="00937D34" w:rsidP="00937D34">
            <w:r>
              <w:t xml:space="preserve">The next meeting is scheduled to take place on </w:t>
            </w:r>
            <w:r w:rsidR="007F4D5F">
              <w:t>Tuesday 26 August at 5pm</w:t>
            </w:r>
          </w:p>
          <w:p w14:paraId="1BCB8187" w14:textId="77777777" w:rsidR="007F4D5F" w:rsidRDefault="007F4D5F" w:rsidP="00937D34"/>
          <w:p w14:paraId="5922F698" w14:textId="72F1D999" w:rsidR="007F4D5F" w:rsidRDefault="007F4D5F" w:rsidP="007F4D5F">
            <w:r>
              <w:t xml:space="preserve">QC Group Business Planning Day – Friday 13 June </w:t>
            </w:r>
          </w:p>
          <w:p w14:paraId="2D6A1135" w14:textId="77777777" w:rsidR="007F4D5F" w:rsidRDefault="007F4D5F" w:rsidP="00937D34"/>
          <w:p w14:paraId="4A4138C6" w14:textId="77777777" w:rsidR="00937D34" w:rsidRDefault="00937D34" w:rsidP="005072D5">
            <w:pPr>
              <w:pStyle w:val="Heading1"/>
            </w:pPr>
          </w:p>
        </w:tc>
        <w:tc>
          <w:tcPr>
            <w:tcW w:w="1230" w:type="dxa"/>
          </w:tcPr>
          <w:p w14:paraId="432BE975" w14:textId="77777777" w:rsidR="00937D34" w:rsidRPr="00D609A2" w:rsidRDefault="00937D34" w:rsidP="005072D5">
            <w:pPr>
              <w:jc w:val="center"/>
            </w:pPr>
          </w:p>
        </w:tc>
      </w:tr>
      <w:tr w:rsidR="005072D5" w:rsidRPr="00276345" w14:paraId="0201E7E1" w14:textId="77777777" w:rsidTr="00695E1C">
        <w:tc>
          <w:tcPr>
            <w:tcW w:w="827" w:type="dxa"/>
          </w:tcPr>
          <w:p w14:paraId="444747D5" w14:textId="77777777" w:rsidR="005072D5" w:rsidRDefault="005072D5" w:rsidP="005072D5"/>
        </w:tc>
        <w:tc>
          <w:tcPr>
            <w:tcW w:w="8671" w:type="dxa"/>
          </w:tcPr>
          <w:p w14:paraId="5E121B86" w14:textId="77777777" w:rsidR="005072D5" w:rsidRPr="00276345" w:rsidRDefault="005072D5" w:rsidP="005072D5">
            <w:pPr>
              <w:pStyle w:val="Heading1"/>
              <w:rPr>
                <w:u w:val="none"/>
              </w:rPr>
            </w:pPr>
            <w:r w:rsidRPr="00276345">
              <w:rPr>
                <w:b w:val="0"/>
                <w:bCs w:val="0"/>
                <w:u w:val="none"/>
              </w:rPr>
              <w:t>I certify that the above minute has been approved as a true and accurate record of proceedings:</w:t>
            </w:r>
          </w:p>
          <w:p w14:paraId="77B6C529" w14:textId="77777777" w:rsidR="005072D5" w:rsidRPr="00276345" w:rsidRDefault="005072D5" w:rsidP="005072D5"/>
          <w:p w14:paraId="39B69BCC" w14:textId="77777777" w:rsidR="005072D5" w:rsidRPr="00276345" w:rsidRDefault="005072D5" w:rsidP="005072D5"/>
          <w:p w14:paraId="7D9B97C8" w14:textId="2D83BC26" w:rsidR="005072D5" w:rsidRPr="00276345" w:rsidRDefault="005072D5" w:rsidP="005072D5">
            <w:pPr>
              <w:pStyle w:val="Heading1"/>
              <w:rPr>
                <w:u w:val="none"/>
              </w:rPr>
            </w:pPr>
            <w:r w:rsidRPr="00276345">
              <w:rPr>
                <w:u w:val="none"/>
              </w:rPr>
              <w:t>Chair:  …………………………………..        Date:  ……………………………………</w:t>
            </w:r>
          </w:p>
        </w:tc>
        <w:tc>
          <w:tcPr>
            <w:tcW w:w="1230" w:type="dxa"/>
          </w:tcPr>
          <w:p w14:paraId="551AD8F4" w14:textId="77777777" w:rsidR="005072D5" w:rsidRPr="00276345" w:rsidRDefault="005072D5" w:rsidP="005072D5">
            <w:pPr>
              <w:jc w:val="center"/>
            </w:pPr>
          </w:p>
        </w:tc>
      </w:tr>
    </w:tbl>
    <w:p w14:paraId="47731D70" w14:textId="3B84C68C" w:rsidR="00F307AB" w:rsidRDefault="00F307AB"/>
    <w:sectPr w:rsidR="00F307AB" w:rsidSect="00120D0D">
      <w:headerReference w:type="default" r:id="rId9"/>
      <w:footerReference w:type="even" r:id="rId10"/>
      <w:footerReference w:type="default" r:id="rId11"/>
      <w:headerReference w:type="first" r:id="rId12"/>
      <w:pgSz w:w="11906" w:h="16838" w:code="9"/>
      <w:pgMar w:top="567" w:right="707"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4C4E5" w14:textId="77777777" w:rsidR="002631EA" w:rsidRDefault="002631EA">
      <w:r>
        <w:separator/>
      </w:r>
    </w:p>
  </w:endnote>
  <w:endnote w:type="continuationSeparator" w:id="0">
    <w:p w14:paraId="138B90F3" w14:textId="77777777" w:rsidR="002631EA" w:rsidRDefault="0026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6BE9" w14:textId="77777777" w:rsidR="002631EA" w:rsidRDefault="002631EA" w:rsidP="00A07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294F3" w14:textId="77777777" w:rsidR="002631EA" w:rsidRDefault="002631EA" w:rsidP="00A079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3672" w14:textId="77777777" w:rsidR="002631EA" w:rsidRDefault="002631EA" w:rsidP="00A07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DC4">
      <w:rPr>
        <w:rStyle w:val="PageNumber"/>
        <w:noProof/>
      </w:rPr>
      <w:t>2</w:t>
    </w:r>
    <w:r>
      <w:rPr>
        <w:rStyle w:val="PageNumber"/>
      </w:rPr>
      <w:fldChar w:fldCharType="end"/>
    </w:r>
  </w:p>
  <w:p w14:paraId="5C4285AF" w14:textId="77777777" w:rsidR="002631EA" w:rsidRDefault="002631EA" w:rsidP="00A07979">
    <w:pPr>
      <w:pStyle w:val="Footer"/>
      <w:tabs>
        <w:tab w:val="clear" w:pos="4153"/>
        <w:tab w:val="clear" w:pos="8306"/>
        <w:tab w:val="right" w:pos="10204"/>
      </w:tabs>
      <w:ind w:right="360"/>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AA5C6" w14:textId="77777777" w:rsidR="002631EA" w:rsidRDefault="002631EA">
      <w:r>
        <w:separator/>
      </w:r>
    </w:p>
  </w:footnote>
  <w:footnote w:type="continuationSeparator" w:id="0">
    <w:p w14:paraId="71AB7FD7" w14:textId="77777777" w:rsidR="002631EA" w:rsidRDefault="0026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2A3E" w14:textId="77777777" w:rsidR="002631EA" w:rsidRPr="000D322A" w:rsidRDefault="002631EA" w:rsidP="000D322A">
    <w:pPr>
      <w:pStyle w:val="Header"/>
      <w:jc w:val="right"/>
      <w:rPr>
        <w:b/>
        <w:sz w:val="28"/>
        <w:szCs w:val="28"/>
        <w:u w:val="single"/>
      </w:rPr>
    </w:pPr>
    <w:r w:rsidRPr="000D322A">
      <w:rPr>
        <w:b/>
        <w:sz w:val="28"/>
        <w:szCs w:val="2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AAF5" w14:textId="3E717CA1" w:rsidR="002631EA" w:rsidRPr="00401804" w:rsidRDefault="00937D34" w:rsidP="00C60CA3">
    <w:pPr>
      <w:pStyle w:val="Header"/>
      <w:jc w:val="right"/>
      <w:rPr>
        <w:rFonts w:ascii="Arial Bold" w:hAnsi="Arial Bold"/>
        <w:b/>
        <w:sz w:val="24"/>
        <w:u w:val="single"/>
      </w:rPr>
    </w:pPr>
    <w:r w:rsidRPr="00937D34">
      <w:rPr>
        <w:rFonts w:ascii="Arial Bold" w:hAnsi="Arial Bold"/>
        <w:b/>
        <w:noProof/>
        <w:sz w:val="24"/>
      </w:rPr>
      <w:drawing>
        <wp:anchor distT="0" distB="0" distL="114300" distR="114300" simplePos="0" relativeHeight="251658240" behindDoc="0" locked="0" layoutInCell="1" allowOverlap="1" wp14:anchorId="6CAE3176" wp14:editId="00A4D850">
          <wp:simplePos x="0" y="0"/>
          <wp:positionH relativeFrom="margin">
            <wp:posOffset>-202019</wp:posOffset>
          </wp:positionH>
          <wp:positionV relativeFrom="margin">
            <wp:posOffset>-372139</wp:posOffset>
          </wp:positionV>
          <wp:extent cx="1307805" cy="610048"/>
          <wp:effectExtent l="0" t="0" r="6985"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7805" cy="6100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C9EFC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52A71"/>
    <w:multiLevelType w:val="hybridMultilevel"/>
    <w:tmpl w:val="F6920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A6FE1"/>
    <w:multiLevelType w:val="hybridMultilevel"/>
    <w:tmpl w:val="D116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E27BB"/>
    <w:multiLevelType w:val="hybridMultilevel"/>
    <w:tmpl w:val="1F58ED66"/>
    <w:lvl w:ilvl="0" w:tplc="18F48AEC">
      <w:start w:val="1"/>
      <w:numFmt w:val="lowerLetter"/>
      <w:lvlText w:val="%1)"/>
      <w:lvlJc w:val="left"/>
      <w:pPr>
        <w:ind w:left="785"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A5468"/>
    <w:multiLevelType w:val="hybridMultilevel"/>
    <w:tmpl w:val="B014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D4CFC"/>
    <w:multiLevelType w:val="hybridMultilevel"/>
    <w:tmpl w:val="F08259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50D37"/>
    <w:multiLevelType w:val="hybridMultilevel"/>
    <w:tmpl w:val="E2E40634"/>
    <w:lvl w:ilvl="0" w:tplc="6B10CCE2">
      <w:start w:val="1"/>
      <w:numFmt w:val="lowerLetter"/>
      <w:lvlText w:val="%1)"/>
      <w:lvlJc w:val="left"/>
      <w:pPr>
        <w:ind w:left="720" w:hanging="360"/>
      </w:pPr>
      <w:rPr>
        <w:rFonts w:ascii="Arial" w:hAnsi="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62C33"/>
    <w:multiLevelType w:val="hybridMultilevel"/>
    <w:tmpl w:val="BF8E1C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62E71"/>
    <w:multiLevelType w:val="hybridMultilevel"/>
    <w:tmpl w:val="C2164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C0582"/>
    <w:multiLevelType w:val="hybridMultilevel"/>
    <w:tmpl w:val="1C2637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FF3940"/>
    <w:multiLevelType w:val="hybridMultilevel"/>
    <w:tmpl w:val="857675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E1EAA"/>
    <w:multiLevelType w:val="hybridMultilevel"/>
    <w:tmpl w:val="1DF6B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96898"/>
    <w:multiLevelType w:val="hybridMultilevel"/>
    <w:tmpl w:val="CC72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545EA"/>
    <w:multiLevelType w:val="hybridMultilevel"/>
    <w:tmpl w:val="BAA875F2"/>
    <w:lvl w:ilvl="0" w:tplc="1810A69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E4158F"/>
    <w:multiLevelType w:val="hybridMultilevel"/>
    <w:tmpl w:val="63E8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952F47"/>
    <w:multiLevelType w:val="hybridMultilevel"/>
    <w:tmpl w:val="FACE7E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D47F01"/>
    <w:multiLevelType w:val="hybridMultilevel"/>
    <w:tmpl w:val="F6920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D67704"/>
    <w:multiLevelType w:val="hybridMultilevel"/>
    <w:tmpl w:val="EF80A312"/>
    <w:lvl w:ilvl="0" w:tplc="A790D5CC">
      <w:start w:val="1"/>
      <w:numFmt w:val="decimal"/>
      <w:lvlText w:val="%1."/>
      <w:lvlJc w:val="left"/>
      <w:pPr>
        <w:ind w:left="360" w:hanging="360"/>
      </w:pPr>
      <w:rPr>
        <w:rFonts w:ascii="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C0B6125"/>
    <w:multiLevelType w:val="hybridMultilevel"/>
    <w:tmpl w:val="D78C8E8A"/>
    <w:lvl w:ilvl="0" w:tplc="18F48AEC">
      <w:start w:val="1"/>
      <w:numFmt w:val="lowerLetter"/>
      <w:lvlText w:val="%1)"/>
      <w:lvlJc w:val="left"/>
      <w:pPr>
        <w:ind w:left="927"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1D54B5"/>
    <w:multiLevelType w:val="hybridMultilevel"/>
    <w:tmpl w:val="D78C8E8A"/>
    <w:lvl w:ilvl="0" w:tplc="18F48AEC">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D01D80"/>
    <w:multiLevelType w:val="hybridMultilevel"/>
    <w:tmpl w:val="2A9875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0F7E4C"/>
    <w:multiLevelType w:val="hybridMultilevel"/>
    <w:tmpl w:val="EF0C6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591DF5"/>
    <w:multiLevelType w:val="hybridMultilevel"/>
    <w:tmpl w:val="D78C8E8A"/>
    <w:lvl w:ilvl="0" w:tplc="18F48AEC">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4268047">
    <w:abstractNumId w:val="0"/>
  </w:num>
  <w:num w:numId="2" w16cid:durableId="1678844752">
    <w:abstractNumId w:val="17"/>
  </w:num>
  <w:num w:numId="3" w16cid:durableId="1920285045">
    <w:abstractNumId w:val="10"/>
  </w:num>
  <w:num w:numId="4" w16cid:durableId="1976790218">
    <w:abstractNumId w:val="15"/>
  </w:num>
  <w:num w:numId="5" w16cid:durableId="1937403104">
    <w:abstractNumId w:val="5"/>
  </w:num>
  <w:num w:numId="6" w16cid:durableId="905723930">
    <w:abstractNumId w:val="8"/>
  </w:num>
  <w:num w:numId="7" w16cid:durableId="1743604682">
    <w:abstractNumId w:val="3"/>
  </w:num>
  <w:num w:numId="8" w16cid:durableId="20208475">
    <w:abstractNumId w:val="1"/>
  </w:num>
  <w:num w:numId="9" w16cid:durableId="249849177">
    <w:abstractNumId w:val="22"/>
  </w:num>
  <w:num w:numId="10" w16cid:durableId="164705672">
    <w:abstractNumId w:val="21"/>
  </w:num>
  <w:num w:numId="11" w16cid:durableId="1910573521">
    <w:abstractNumId w:val="19"/>
  </w:num>
  <w:num w:numId="12" w16cid:durableId="1156383935">
    <w:abstractNumId w:val="18"/>
  </w:num>
  <w:num w:numId="13" w16cid:durableId="399131298">
    <w:abstractNumId w:val="16"/>
  </w:num>
  <w:num w:numId="14" w16cid:durableId="1377700934">
    <w:abstractNumId w:val="13"/>
  </w:num>
  <w:num w:numId="15" w16cid:durableId="179393253">
    <w:abstractNumId w:val="6"/>
  </w:num>
  <w:num w:numId="16" w16cid:durableId="1373922758">
    <w:abstractNumId w:val="4"/>
  </w:num>
  <w:num w:numId="17" w16cid:durableId="1117022740">
    <w:abstractNumId w:val="7"/>
  </w:num>
  <w:num w:numId="18" w16cid:durableId="227766221">
    <w:abstractNumId w:val="20"/>
  </w:num>
  <w:num w:numId="19" w16cid:durableId="1000045119">
    <w:abstractNumId w:val="9"/>
  </w:num>
  <w:num w:numId="20" w16cid:durableId="1396665082">
    <w:abstractNumId w:val="12"/>
  </w:num>
  <w:num w:numId="21" w16cid:durableId="1115253928">
    <w:abstractNumId w:val="11"/>
  </w:num>
  <w:num w:numId="22" w16cid:durableId="1966159261">
    <w:abstractNumId w:val="2"/>
  </w:num>
  <w:num w:numId="23" w16cid:durableId="20117587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1A"/>
    <w:rsid w:val="00000122"/>
    <w:rsid w:val="000002DC"/>
    <w:rsid w:val="00000FAC"/>
    <w:rsid w:val="00001009"/>
    <w:rsid w:val="00001205"/>
    <w:rsid w:val="000012CA"/>
    <w:rsid w:val="000014B8"/>
    <w:rsid w:val="00001D85"/>
    <w:rsid w:val="00001EC7"/>
    <w:rsid w:val="000020D5"/>
    <w:rsid w:val="000037D5"/>
    <w:rsid w:val="00004D37"/>
    <w:rsid w:val="00005353"/>
    <w:rsid w:val="00005D9B"/>
    <w:rsid w:val="00006639"/>
    <w:rsid w:val="00006D29"/>
    <w:rsid w:val="000071FE"/>
    <w:rsid w:val="00007269"/>
    <w:rsid w:val="00007660"/>
    <w:rsid w:val="00007892"/>
    <w:rsid w:val="00007929"/>
    <w:rsid w:val="00007B16"/>
    <w:rsid w:val="00007F2F"/>
    <w:rsid w:val="0001076C"/>
    <w:rsid w:val="000109D8"/>
    <w:rsid w:val="00010D8E"/>
    <w:rsid w:val="000110E5"/>
    <w:rsid w:val="00011527"/>
    <w:rsid w:val="0001282A"/>
    <w:rsid w:val="00013709"/>
    <w:rsid w:val="000137C3"/>
    <w:rsid w:val="00013ECD"/>
    <w:rsid w:val="00014277"/>
    <w:rsid w:val="000143B2"/>
    <w:rsid w:val="000146D5"/>
    <w:rsid w:val="00015698"/>
    <w:rsid w:val="00015913"/>
    <w:rsid w:val="000161D4"/>
    <w:rsid w:val="0001626E"/>
    <w:rsid w:val="000165C6"/>
    <w:rsid w:val="000167AF"/>
    <w:rsid w:val="00016CCA"/>
    <w:rsid w:val="000175B4"/>
    <w:rsid w:val="00017B7B"/>
    <w:rsid w:val="000202E6"/>
    <w:rsid w:val="000203C6"/>
    <w:rsid w:val="000205C6"/>
    <w:rsid w:val="00020798"/>
    <w:rsid w:val="00020842"/>
    <w:rsid w:val="00020A92"/>
    <w:rsid w:val="00020E98"/>
    <w:rsid w:val="0002144F"/>
    <w:rsid w:val="000216A5"/>
    <w:rsid w:val="0002205D"/>
    <w:rsid w:val="000223E1"/>
    <w:rsid w:val="00022A5D"/>
    <w:rsid w:val="00022E73"/>
    <w:rsid w:val="0002329D"/>
    <w:rsid w:val="000232E0"/>
    <w:rsid w:val="00023471"/>
    <w:rsid w:val="00023601"/>
    <w:rsid w:val="00023E30"/>
    <w:rsid w:val="000242D3"/>
    <w:rsid w:val="000246B2"/>
    <w:rsid w:val="00024763"/>
    <w:rsid w:val="00025218"/>
    <w:rsid w:val="00025232"/>
    <w:rsid w:val="0002572A"/>
    <w:rsid w:val="00025FD3"/>
    <w:rsid w:val="00026098"/>
    <w:rsid w:val="000264A3"/>
    <w:rsid w:val="000267D1"/>
    <w:rsid w:val="00026A29"/>
    <w:rsid w:val="00026D0B"/>
    <w:rsid w:val="00027233"/>
    <w:rsid w:val="000276FB"/>
    <w:rsid w:val="00031DA3"/>
    <w:rsid w:val="00032302"/>
    <w:rsid w:val="0003290C"/>
    <w:rsid w:val="00033103"/>
    <w:rsid w:val="0003330A"/>
    <w:rsid w:val="00033319"/>
    <w:rsid w:val="000338CC"/>
    <w:rsid w:val="00034166"/>
    <w:rsid w:val="00034295"/>
    <w:rsid w:val="000342BB"/>
    <w:rsid w:val="000343A5"/>
    <w:rsid w:val="000345FB"/>
    <w:rsid w:val="00034BF3"/>
    <w:rsid w:val="00034D91"/>
    <w:rsid w:val="000359D8"/>
    <w:rsid w:val="00035A26"/>
    <w:rsid w:val="00035EBE"/>
    <w:rsid w:val="00037127"/>
    <w:rsid w:val="000372A7"/>
    <w:rsid w:val="000372A8"/>
    <w:rsid w:val="000375B5"/>
    <w:rsid w:val="000378D8"/>
    <w:rsid w:val="0003799B"/>
    <w:rsid w:val="00040B05"/>
    <w:rsid w:val="00040E09"/>
    <w:rsid w:val="00041212"/>
    <w:rsid w:val="0004145C"/>
    <w:rsid w:val="00041511"/>
    <w:rsid w:val="00041706"/>
    <w:rsid w:val="00041CC8"/>
    <w:rsid w:val="00041FD1"/>
    <w:rsid w:val="0004269F"/>
    <w:rsid w:val="00042AE4"/>
    <w:rsid w:val="00043468"/>
    <w:rsid w:val="000434E7"/>
    <w:rsid w:val="000439F2"/>
    <w:rsid w:val="00043BA8"/>
    <w:rsid w:val="00043EC9"/>
    <w:rsid w:val="00044186"/>
    <w:rsid w:val="000442BF"/>
    <w:rsid w:val="000444B3"/>
    <w:rsid w:val="00044500"/>
    <w:rsid w:val="0004487A"/>
    <w:rsid w:val="00044AC5"/>
    <w:rsid w:val="00044B53"/>
    <w:rsid w:val="00045366"/>
    <w:rsid w:val="000454C3"/>
    <w:rsid w:val="00045AF3"/>
    <w:rsid w:val="00045E5D"/>
    <w:rsid w:val="00045F95"/>
    <w:rsid w:val="0004739F"/>
    <w:rsid w:val="0004761C"/>
    <w:rsid w:val="000477BF"/>
    <w:rsid w:val="00047A16"/>
    <w:rsid w:val="000500D1"/>
    <w:rsid w:val="0005016F"/>
    <w:rsid w:val="00050555"/>
    <w:rsid w:val="0005055F"/>
    <w:rsid w:val="000506DE"/>
    <w:rsid w:val="00050797"/>
    <w:rsid w:val="00051179"/>
    <w:rsid w:val="000516E6"/>
    <w:rsid w:val="0005191B"/>
    <w:rsid w:val="00052195"/>
    <w:rsid w:val="0005221D"/>
    <w:rsid w:val="00052830"/>
    <w:rsid w:val="00052B9F"/>
    <w:rsid w:val="00052D52"/>
    <w:rsid w:val="00052FEA"/>
    <w:rsid w:val="00053274"/>
    <w:rsid w:val="000533F9"/>
    <w:rsid w:val="0005386C"/>
    <w:rsid w:val="00053BCF"/>
    <w:rsid w:val="0005471B"/>
    <w:rsid w:val="00054723"/>
    <w:rsid w:val="000548A5"/>
    <w:rsid w:val="00054B27"/>
    <w:rsid w:val="00055097"/>
    <w:rsid w:val="000551C0"/>
    <w:rsid w:val="000557E1"/>
    <w:rsid w:val="00055B80"/>
    <w:rsid w:val="00056375"/>
    <w:rsid w:val="000563B2"/>
    <w:rsid w:val="0005694E"/>
    <w:rsid w:val="00056A7B"/>
    <w:rsid w:val="00056CD6"/>
    <w:rsid w:val="00057244"/>
    <w:rsid w:val="000574F2"/>
    <w:rsid w:val="00057A99"/>
    <w:rsid w:val="00060360"/>
    <w:rsid w:val="00060AC9"/>
    <w:rsid w:val="00060C5D"/>
    <w:rsid w:val="00060F8F"/>
    <w:rsid w:val="00061006"/>
    <w:rsid w:val="000611C0"/>
    <w:rsid w:val="000614A3"/>
    <w:rsid w:val="00061D41"/>
    <w:rsid w:val="00062009"/>
    <w:rsid w:val="000620D0"/>
    <w:rsid w:val="000623B5"/>
    <w:rsid w:val="0006290B"/>
    <w:rsid w:val="00062C05"/>
    <w:rsid w:val="000630CC"/>
    <w:rsid w:val="00063A6B"/>
    <w:rsid w:val="00064377"/>
    <w:rsid w:val="00064FB8"/>
    <w:rsid w:val="0006513F"/>
    <w:rsid w:val="00065753"/>
    <w:rsid w:val="00065C15"/>
    <w:rsid w:val="00065C37"/>
    <w:rsid w:val="00065EC5"/>
    <w:rsid w:val="000660A5"/>
    <w:rsid w:val="00066DF9"/>
    <w:rsid w:val="00066F9A"/>
    <w:rsid w:val="00067AA8"/>
    <w:rsid w:val="00067AC0"/>
    <w:rsid w:val="00067D56"/>
    <w:rsid w:val="00070043"/>
    <w:rsid w:val="000701A6"/>
    <w:rsid w:val="00070407"/>
    <w:rsid w:val="0007063B"/>
    <w:rsid w:val="000706EF"/>
    <w:rsid w:val="000709A8"/>
    <w:rsid w:val="00070A22"/>
    <w:rsid w:val="00070A74"/>
    <w:rsid w:val="000714CB"/>
    <w:rsid w:val="000717E0"/>
    <w:rsid w:val="00071939"/>
    <w:rsid w:val="00071C51"/>
    <w:rsid w:val="0007209B"/>
    <w:rsid w:val="000724BF"/>
    <w:rsid w:val="00072869"/>
    <w:rsid w:val="00073440"/>
    <w:rsid w:val="00073544"/>
    <w:rsid w:val="00073636"/>
    <w:rsid w:val="00073711"/>
    <w:rsid w:val="00073C05"/>
    <w:rsid w:val="00073DF5"/>
    <w:rsid w:val="0007486F"/>
    <w:rsid w:val="000748A1"/>
    <w:rsid w:val="000748AC"/>
    <w:rsid w:val="00074AC7"/>
    <w:rsid w:val="00074AF2"/>
    <w:rsid w:val="00074C0D"/>
    <w:rsid w:val="00074F34"/>
    <w:rsid w:val="0007565A"/>
    <w:rsid w:val="0007566C"/>
    <w:rsid w:val="00075818"/>
    <w:rsid w:val="00075892"/>
    <w:rsid w:val="00075ADD"/>
    <w:rsid w:val="00075FC9"/>
    <w:rsid w:val="0007697C"/>
    <w:rsid w:val="00076E43"/>
    <w:rsid w:val="00077603"/>
    <w:rsid w:val="00077783"/>
    <w:rsid w:val="00077915"/>
    <w:rsid w:val="0008024F"/>
    <w:rsid w:val="0008041D"/>
    <w:rsid w:val="00080680"/>
    <w:rsid w:val="0008084F"/>
    <w:rsid w:val="00080BCA"/>
    <w:rsid w:val="00080FDA"/>
    <w:rsid w:val="00081128"/>
    <w:rsid w:val="00082296"/>
    <w:rsid w:val="000827CB"/>
    <w:rsid w:val="00082A91"/>
    <w:rsid w:val="00082FDB"/>
    <w:rsid w:val="0008404E"/>
    <w:rsid w:val="000845C8"/>
    <w:rsid w:val="000847B3"/>
    <w:rsid w:val="00085119"/>
    <w:rsid w:val="0008542F"/>
    <w:rsid w:val="00085596"/>
    <w:rsid w:val="0008579D"/>
    <w:rsid w:val="00085A8E"/>
    <w:rsid w:val="000862BC"/>
    <w:rsid w:val="0008647B"/>
    <w:rsid w:val="000864B8"/>
    <w:rsid w:val="00086A12"/>
    <w:rsid w:val="000870C1"/>
    <w:rsid w:val="00087203"/>
    <w:rsid w:val="00087543"/>
    <w:rsid w:val="0008755C"/>
    <w:rsid w:val="00087634"/>
    <w:rsid w:val="00087769"/>
    <w:rsid w:val="00087904"/>
    <w:rsid w:val="000906EB"/>
    <w:rsid w:val="00091E33"/>
    <w:rsid w:val="0009246B"/>
    <w:rsid w:val="0009279E"/>
    <w:rsid w:val="00092B9A"/>
    <w:rsid w:val="00093CD3"/>
    <w:rsid w:val="00094432"/>
    <w:rsid w:val="00094501"/>
    <w:rsid w:val="00094503"/>
    <w:rsid w:val="00094840"/>
    <w:rsid w:val="00094CE2"/>
    <w:rsid w:val="0009502F"/>
    <w:rsid w:val="00095541"/>
    <w:rsid w:val="00095677"/>
    <w:rsid w:val="00095710"/>
    <w:rsid w:val="00095A41"/>
    <w:rsid w:val="00096700"/>
    <w:rsid w:val="000973EC"/>
    <w:rsid w:val="00097755"/>
    <w:rsid w:val="000A095D"/>
    <w:rsid w:val="000A09AF"/>
    <w:rsid w:val="000A10A4"/>
    <w:rsid w:val="000A257C"/>
    <w:rsid w:val="000A2A59"/>
    <w:rsid w:val="000A3332"/>
    <w:rsid w:val="000A33A1"/>
    <w:rsid w:val="000A347E"/>
    <w:rsid w:val="000A3A62"/>
    <w:rsid w:val="000A4035"/>
    <w:rsid w:val="000A4189"/>
    <w:rsid w:val="000A50D5"/>
    <w:rsid w:val="000A5A2A"/>
    <w:rsid w:val="000A5BE3"/>
    <w:rsid w:val="000A5D9A"/>
    <w:rsid w:val="000A5E84"/>
    <w:rsid w:val="000A5F3D"/>
    <w:rsid w:val="000A697B"/>
    <w:rsid w:val="000A6E28"/>
    <w:rsid w:val="000A6FAA"/>
    <w:rsid w:val="000A720E"/>
    <w:rsid w:val="000A78C3"/>
    <w:rsid w:val="000A7AC0"/>
    <w:rsid w:val="000A7DC1"/>
    <w:rsid w:val="000B0815"/>
    <w:rsid w:val="000B0B12"/>
    <w:rsid w:val="000B1027"/>
    <w:rsid w:val="000B14C8"/>
    <w:rsid w:val="000B1520"/>
    <w:rsid w:val="000B1606"/>
    <w:rsid w:val="000B1893"/>
    <w:rsid w:val="000B1933"/>
    <w:rsid w:val="000B1CFF"/>
    <w:rsid w:val="000B1EB9"/>
    <w:rsid w:val="000B1FF9"/>
    <w:rsid w:val="000B21BA"/>
    <w:rsid w:val="000B22F2"/>
    <w:rsid w:val="000B2B53"/>
    <w:rsid w:val="000B2F06"/>
    <w:rsid w:val="000B32C4"/>
    <w:rsid w:val="000B3A1F"/>
    <w:rsid w:val="000B3E5C"/>
    <w:rsid w:val="000B504F"/>
    <w:rsid w:val="000B5431"/>
    <w:rsid w:val="000B5EA5"/>
    <w:rsid w:val="000B5F9C"/>
    <w:rsid w:val="000B60C7"/>
    <w:rsid w:val="000B615B"/>
    <w:rsid w:val="000B61F9"/>
    <w:rsid w:val="000B62B0"/>
    <w:rsid w:val="000B64E2"/>
    <w:rsid w:val="000B6E6B"/>
    <w:rsid w:val="000B710F"/>
    <w:rsid w:val="000B7308"/>
    <w:rsid w:val="000B7C23"/>
    <w:rsid w:val="000C0099"/>
    <w:rsid w:val="000C10C1"/>
    <w:rsid w:val="000C11C4"/>
    <w:rsid w:val="000C12FB"/>
    <w:rsid w:val="000C1391"/>
    <w:rsid w:val="000C1F29"/>
    <w:rsid w:val="000C2569"/>
    <w:rsid w:val="000C2B85"/>
    <w:rsid w:val="000C3724"/>
    <w:rsid w:val="000C3771"/>
    <w:rsid w:val="000C3BF9"/>
    <w:rsid w:val="000C3C51"/>
    <w:rsid w:val="000C3CF2"/>
    <w:rsid w:val="000C3FC6"/>
    <w:rsid w:val="000C43F4"/>
    <w:rsid w:val="000C4782"/>
    <w:rsid w:val="000C481E"/>
    <w:rsid w:val="000C4863"/>
    <w:rsid w:val="000C4A48"/>
    <w:rsid w:val="000C4CCF"/>
    <w:rsid w:val="000C5B74"/>
    <w:rsid w:val="000C5F0A"/>
    <w:rsid w:val="000C5FC3"/>
    <w:rsid w:val="000C6145"/>
    <w:rsid w:val="000C64A2"/>
    <w:rsid w:val="000C66AF"/>
    <w:rsid w:val="000C68CF"/>
    <w:rsid w:val="000C68D6"/>
    <w:rsid w:val="000C6FD2"/>
    <w:rsid w:val="000D0575"/>
    <w:rsid w:val="000D05CC"/>
    <w:rsid w:val="000D1EEB"/>
    <w:rsid w:val="000D1F27"/>
    <w:rsid w:val="000D237E"/>
    <w:rsid w:val="000D2966"/>
    <w:rsid w:val="000D322A"/>
    <w:rsid w:val="000D3635"/>
    <w:rsid w:val="000D490C"/>
    <w:rsid w:val="000D496E"/>
    <w:rsid w:val="000D4BEC"/>
    <w:rsid w:val="000D4CD6"/>
    <w:rsid w:val="000D4FDF"/>
    <w:rsid w:val="000D537B"/>
    <w:rsid w:val="000D585A"/>
    <w:rsid w:val="000D5897"/>
    <w:rsid w:val="000D5CEE"/>
    <w:rsid w:val="000D5EAC"/>
    <w:rsid w:val="000D6594"/>
    <w:rsid w:val="000D6DA8"/>
    <w:rsid w:val="000D731D"/>
    <w:rsid w:val="000D7639"/>
    <w:rsid w:val="000E0145"/>
    <w:rsid w:val="000E0BD8"/>
    <w:rsid w:val="000E13F7"/>
    <w:rsid w:val="000E144E"/>
    <w:rsid w:val="000E2EC2"/>
    <w:rsid w:val="000E320D"/>
    <w:rsid w:val="000E388D"/>
    <w:rsid w:val="000E3C3C"/>
    <w:rsid w:val="000E40F9"/>
    <w:rsid w:val="000E52F8"/>
    <w:rsid w:val="000E5365"/>
    <w:rsid w:val="000E556A"/>
    <w:rsid w:val="000E5685"/>
    <w:rsid w:val="000E6514"/>
    <w:rsid w:val="000E68D4"/>
    <w:rsid w:val="000E68DA"/>
    <w:rsid w:val="000E6A26"/>
    <w:rsid w:val="000E6C7B"/>
    <w:rsid w:val="000E6E56"/>
    <w:rsid w:val="000E7B7F"/>
    <w:rsid w:val="000E7E7D"/>
    <w:rsid w:val="000F0033"/>
    <w:rsid w:val="000F04DE"/>
    <w:rsid w:val="000F05DD"/>
    <w:rsid w:val="000F0962"/>
    <w:rsid w:val="000F0CED"/>
    <w:rsid w:val="000F1566"/>
    <w:rsid w:val="000F161C"/>
    <w:rsid w:val="000F1775"/>
    <w:rsid w:val="000F1CA0"/>
    <w:rsid w:val="000F290B"/>
    <w:rsid w:val="000F294F"/>
    <w:rsid w:val="000F3156"/>
    <w:rsid w:val="000F365D"/>
    <w:rsid w:val="000F37EA"/>
    <w:rsid w:val="000F3AFC"/>
    <w:rsid w:val="000F3DA4"/>
    <w:rsid w:val="000F4138"/>
    <w:rsid w:val="000F481D"/>
    <w:rsid w:val="000F534F"/>
    <w:rsid w:val="000F537A"/>
    <w:rsid w:val="000F54D5"/>
    <w:rsid w:val="000F57E4"/>
    <w:rsid w:val="000F66F2"/>
    <w:rsid w:val="000F70D0"/>
    <w:rsid w:val="000F712C"/>
    <w:rsid w:val="000F72F5"/>
    <w:rsid w:val="000F74F2"/>
    <w:rsid w:val="001013D4"/>
    <w:rsid w:val="001017E5"/>
    <w:rsid w:val="00101BAD"/>
    <w:rsid w:val="00101FE5"/>
    <w:rsid w:val="001024E9"/>
    <w:rsid w:val="001026AC"/>
    <w:rsid w:val="00102796"/>
    <w:rsid w:val="00102D73"/>
    <w:rsid w:val="00102D7C"/>
    <w:rsid w:val="00102E57"/>
    <w:rsid w:val="0010334A"/>
    <w:rsid w:val="00103383"/>
    <w:rsid w:val="001034E2"/>
    <w:rsid w:val="00103A95"/>
    <w:rsid w:val="001046B7"/>
    <w:rsid w:val="0010485F"/>
    <w:rsid w:val="00105065"/>
    <w:rsid w:val="00105132"/>
    <w:rsid w:val="001052AC"/>
    <w:rsid w:val="00105AB4"/>
    <w:rsid w:val="00105DD7"/>
    <w:rsid w:val="00105E26"/>
    <w:rsid w:val="00105F05"/>
    <w:rsid w:val="0010629C"/>
    <w:rsid w:val="00106346"/>
    <w:rsid w:val="0010722E"/>
    <w:rsid w:val="0010776C"/>
    <w:rsid w:val="00107917"/>
    <w:rsid w:val="00107F40"/>
    <w:rsid w:val="00110264"/>
    <w:rsid w:val="001106B3"/>
    <w:rsid w:val="00110C4D"/>
    <w:rsid w:val="00110F4D"/>
    <w:rsid w:val="00110F5A"/>
    <w:rsid w:val="0011118A"/>
    <w:rsid w:val="001111BA"/>
    <w:rsid w:val="00111290"/>
    <w:rsid w:val="00111BD1"/>
    <w:rsid w:val="00111D4A"/>
    <w:rsid w:val="00112403"/>
    <w:rsid w:val="00112D98"/>
    <w:rsid w:val="0011358D"/>
    <w:rsid w:val="00113B68"/>
    <w:rsid w:val="00113D30"/>
    <w:rsid w:val="00113D98"/>
    <w:rsid w:val="0011401D"/>
    <w:rsid w:val="00114175"/>
    <w:rsid w:val="00114B3A"/>
    <w:rsid w:val="00115164"/>
    <w:rsid w:val="001153F2"/>
    <w:rsid w:val="0011546A"/>
    <w:rsid w:val="00115519"/>
    <w:rsid w:val="00115603"/>
    <w:rsid w:val="001159BF"/>
    <w:rsid w:val="00115A82"/>
    <w:rsid w:val="00116D48"/>
    <w:rsid w:val="001171D4"/>
    <w:rsid w:val="00117206"/>
    <w:rsid w:val="001174CF"/>
    <w:rsid w:val="001176CB"/>
    <w:rsid w:val="00117A33"/>
    <w:rsid w:val="00117DDC"/>
    <w:rsid w:val="00120382"/>
    <w:rsid w:val="00120CEF"/>
    <w:rsid w:val="00120D0D"/>
    <w:rsid w:val="00120F88"/>
    <w:rsid w:val="001210F8"/>
    <w:rsid w:val="00121302"/>
    <w:rsid w:val="00121CDD"/>
    <w:rsid w:val="0012202D"/>
    <w:rsid w:val="0012229A"/>
    <w:rsid w:val="00122F10"/>
    <w:rsid w:val="0012337C"/>
    <w:rsid w:val="001239EA"/>
    <w:rsid w:val="00123D99"/>
    <w:rsid w:val="001242C3"/>
    <w:rsid w:val="001246C9"/>
    <w:rsid w:val="001246F3"/>
    <w:rsid w:val="0012487F"/>
    <w:rsid w:val="001248BC"/>
    <w:rsid w:val="00124FDB"/>
    <w:rsid w:val="001250A7"/>
    <w:rsid w:val="001250C9"/>
    <w:rsid w:val="001250E0"/>
    <w:rsid w:val="001253D3"/>
    <w:rsid w:val="001255C5"/>
    <w:rsid w:val="00125C1B"/>
    <w:rsid w:val="00125C46"/>
    <w:rsid w:val="00125D00"/>
    <w:rsid w:val="00126636"/>
    <w:rsid w:val="0012758E"/>
    <w:rsid w:val="0012796A"/>
    <w:rsid w:val="00130329"/>
    <w:rsid w:val="00130EBC"/>
    <w:rsid w:val="0013137E"/>
    <w:rsid w:val="00131BCF"/>
    <w:rsid w:val="00131CA9"/>
    <w:rsid w:val="00131D7A"/>
    <w:rsid w:val="00131D87"/>
    <w:rsid w:val="00131EE2"/>
    <w:rsid w:val="0013210E"/>
    <w:rsid w:val="00132370"/>
    <w:rsid w:val="00132476"/>
    <w:rsid w:val="001324CC"/>
    <w:rsid w:val="00132A11"/>
    <w:rsid w:val="00132A20"/>
    <w:rsid w:val="00132EFB"/>
    <w:rsid w:val="00133455"/>
    <w:rsid w:val="0013371D"/>
    <w:rsid w:val="00133928"/>
    <w:rsid w:val="00133ADE"/>
    <w:rsid w:val="00133AE6"/>
    <w:rsid w:val="00133DC9"/>
    <w:rsid w:val="001343F1"/>
    <w:rsid w:val="001349E3"/>
    <w:rsid w:val="00134E96"/>
    <w:rsid w:val="00135277"/>
    <w:rsid w:val="00135295"/>
    <w:rsid w:val="001353DD"/>
    <w:rsid w:val="00135945"/>
    <w:rsid w:val="001363D8"/>
    <w:rsid w:val="00137167"/>
    <w:rsid w:val="0013727A"/>
    <w:rsid w:val="00137423"/>
    <w:rsid w:val="00137865"/>
    <w:rsid w:val="00137B50"/>
    <w:rsid w:val="001402DD"/>
    <w:rsid w:val="001405A0"/>
    <w:rsid w:val="00140863"/>
    <w:rsid w:val="00140B3C"/>
    <w:rsid w:val="00140C12"/>
    <w:rsid w:val="00140C4B"/>
    <w:rsid w:val="0014132F"/>
    <w:rsid w:val="001413A7"/>
    <w:rsid w:val="001415B1"/>
    <w:rsid w:val="0014166C"/>
    <w:rsid w:val="00141A01"/>
    <w:rsid w:val="00141EB8"/>
    <w:rsid w:val="00141F67"/>
    <w:rsid w:val="001422C0"/>
    <w:rsid w:val="00142305"/>
    <w:rsid w:val="0014234B"/>
    <w:rsid w:val="0014318A"/>
    <w:rsid w:val="00143954"/>
    <w:rsid w:val="001439E5"/>
    <w:rsid w:val="00143D0C"/>
    <w:rsid w:val="00143EE2"/>
    <w:rsid w:val="00144325"/>
    <w:rsid w:val="00144AC8"/>
    <w:rsid w:val="00144DD1"/>
    <w:rsid w:val="00144F20"/>
    <w:rsid w:val="00145411"/>
    <w:rsid w:val="0014573C"/>
    <w:rsid w:val="00145829"/>
    <w:rsid w:val="00145B1E"/>
    <w:rsid w:val="00145EC7"/>
    <w:rsid w:val="00146640"/>
    <w:rsid w:val="001467B2"/>
    <w:rsid w:val="00147AA0"/>
    <w:rsid w:val="00150664"/>
    <w:rsid w:val="001508B3"/>
    <w:rsid w:val="001509DA"/>
    <w:rsid w:val="00150BCD"/>
    <w:rsid w:val="0015142A"/>
    <w:rsid w:val="001516AE"/>
    <w:rsid w:val="00151714"/>
    <w:rsid w:val="00151B54"/>
    <w:rsid w:val="00151BF4"/>
    <w:rsid w:val="00151F0A"/>
    <w:rsid w:val="00152753"/>
    <w:rsid w:val="001529AC"/>
    <w:rsid w:val="001529EE"/>
    <w:rsid w:val="00152E01"/>
    <w:rsid w:val="00152E42"/>
    <w:rsid w:val="00153338"/>
    <w:rsid w:val="00153A3F"/>
    <w:rsid w:val="00153FA8"/>
    <w:rsid w:val="00153FB0"/>
    <w:rsid w:val="001542C0"/>
    <w:rsid w:val="00154894"/>
    <w:rsid w:val="00155263"/>
    <w:rsid w:val="00155392"/>
    <w:rsid w:val="001555A2"/>
    <w:rsid w:val="00155690"/>
    <w:rsid w:val="001558F8"/>
    <w:rsid w:val="00155988"/>
    <w:rsid w:val="00155AAC"/>
    <w:rsid w:val="00155B7B"/>
    <w:rsid w:val="00155C11"/>
    <w:rsid w:val="00156BAB"/>
    <w:rsid w:val="00156E3A"/>
    <w:rsid w:val="001574CD"/>
    <w:rsid w:val="00160707"/>
    <w:rsid w:val="0016095C"/>
    <w:rsid w:val="001609AE"/>
    <w:rsid w:val="0016179F"/>
    <w:rsid w:val="001619E1"/>
    <w:rsid w:val="00161B27"/>
    <w:rsid w:val="00161BEB"/>
    <w:rsid w:val="00161CF3"/>
    <w:rsid w:val="00161FEC"/>
    <w:rsid w:val="00162284"/>
    <w:rsid w:val="00162727"/>
    <w:rsid w:val="00162D47"/>
    <w:rsid w:val="00162F95"/>
    <w:rsid w:val="001633A0"/>
    <w:rsid w:val="00163491"/>
    <w:rsid w:val="001634CE"/>
    <w:rsid w:val="0016367A"/>
    <w:rsid w:val="001636CE"/>
    <w:rsid w:val="0016385C"/>
    <w:rsid w:val="0016446E"/>
    <w:rsid w:val="00164713"/>
    <w:rsid w:val="00164BAE"/>
    <w:rsid w:val="00165936"/>
    <w:rsid w:val="00165DDF"/>
    <w:rsid w:val="00165E43"/>
    <w:rsid w:val="00166045"/>
    <w:rsid w:val="0016620B"/>
    <w:rsid w:val="0016654E"/>
    <w:rsid w:val="00166767"/>
    <w:rsid w:val="0016676B"/>
    <w:rsid w:val="00166D40"/>
    <w:rsid w:val="00167281"/>
    <w:rsid w:val="0016771F"/>
    <w:rsid w:val="00170002"/>
    <w:rsid w:val="00170266"/>
    <w:rsid w:val="001703EB"/>
    <w:rsid w:val="00170977"/>
    <w:rsid w:val="00170B29"/>
    <w:rsid w:val="00170E88"/>
    <w:rsid w:val="0017152D"/>
    <w:rsid w:val="0017166D"/>
    <w:rsid w:val="00171F61"/>
    <w:rsid w:val="00172902"/>
    <w:rsid w:val="001729C0"/>
    <w:rsid w:val="00172B76"/>
    <w:rsid w:val="00172DC3"/>
    <w:rsid w:val="00174133"/>
    <w:rsid w:val="0017429C"/>
    <w:rsid w:val="001742C8"/>
    <w:rsid w:val="001742EE"/>
    <w:rsid w:val="00174709"/>
    <w:rsid w:val="00174975"/>
    <w:rsid w:val="00174ACD"/>
    <w:rsid w:val="00174E63"/>
    <w:rsid w:val="00174F71"/>
    <w:rsid w:val="00175168"/>
    <w:rsid w:val="00175319"/>
    <w:rsid w:val="0017543E"/>
    <w:rsid w:val="00175464"/>
    <w:rsid w:val="00175498"/>
    <w:rsid w:val="001755B7"/>
    <w:rsid w:val="00175D6D"/>
    <w:rsid w:val="0017613A"/>
    <w:rsid w:val="00176231"/>
    <w:rsid w:val="001767F8"/>
    <w:rsid w:val="001770FE"/>
    <w:rsid w:val="00180CC9"/>
    <w:rsid w:val="00181168"/>
    <w:rsid w:val="0018174B"/>
    <w:rsid w:val="00181791"/>
    <w:rsid w:val="00181C27"/>
    <w:rsid w:val="001823F0"/>
    <w:rsid w:val="001826A9"/>
    <w:rsid w:val="00182DF9"/>
    <w:rsid w:val="001833DE"/>
    <w:rsid w:val="00183897"/>
    <w:rsid w:val="001841DF"/>
    <w:rsid w:val="00184FF4"/>
    <w:rsid w:val="0018504C"/>
    <w:rsid w:val="00185219"/>
    <w:rsid w:val="00186152"/>
    <w:rsid w:val="00186370"/>
    <w:rsid w:val="00186C69"/>
    <w:rsid w:val="00186E51"/>
    <w:rsid w:val="001879B4"/>
    <w:rsid w:val="00187B4D"/>
    <w:rsid w:val="00187C9F"/>
    <w:rsid w:val="00187DE8"/>
    <w:rsid w:val="001902B4"/>
    <w:rsid w:val="001903AF"/>
    <w:rsid w:val="00190F54"/>
    <w:rsid w:val="00191199"/>
    <w:rsid w:val="00191B6D"/>
    <w:rsid w:val="00191EE0"/>
    <w:rsid w:val="00192328"/>
    <w:rsid w:val="0019248A"/>
    <w:rsid w:val="0019251B"/>
    <w:rsid w:val="001926EE"/>
    <w:rsid w:val="00192763"/>
    <w:rsid w:val="00192AC0"/>
    <w:rsid w:val="00192D50"/>
    <w:rsid w:val="00192EB2"/>
    <w:rsid w:val="00194121"/>
    <w:rsid w:val="001944C3"/>
    <w:rsid w:val="001944C8"/>
    <w:rsid w:val="00194645"/>
    <w:rsid w:val="00194BC1"/>
    <w:rsid w:val="00194DA3"/>
    <w:rsid w:val="0019525E"/>
    <w:rsid w:val="00196024"/>
    <w:rsid w:val="001961F3"/>
    <w:rsid w:val="00196783"/>
    <w:rsid w:val="001968A5"/>
    <w:rsid w:val="00196BCC"/>
    <w:rsid w:val="001975FB"/>
    <w:rsid w:val="00197ED5"/>
    <w:rsid w:val="001A0712"/>
    <w:rsid w:val="001A0920"/>
    <w:rsid w:val="001A0F0D"/>
    <w:rsid w:val="001A12E2"/>
    <w:rsid w:val="001A1327"/>
    <w:rsid w:val="001A1427"/>
    <w:rsid w:val="001A261B"/>
    <w:rsid w:val="001A2631"/>
    <w:rsid w:val="001A2F07"/>
    <w:rsid w:val="001A3810"/>
    <w:rsid w:val="001A3851"/>
    <w:rsid w:val="001A3C54"/>
    <w:rsid w:val="001A608C"/>
    <w:rsid w:val="001A651A"/>
    <w:rsid w:val="001A6656"/>
    <w:rsid w:val="001A66EC"/>
    <w:rsid w:val="001A6A98"/>
    <w:rsid w:val="001A6B93"/>
    <w:rsid w:val="001A7D6E"/>
    <w:rsid w:val="001A7EB1"/>
    <w:rsid w:val="001A7FC1"/>
    <w:rsid w:val="001B07AC"/>
    <w:rsid w:val="001B0C28"/>
    <w:rsid w:val="001B1E90"/>
    <w:rsid w:val="001B2102"/>
    <w:rsid w:val="001B2471"/>
    <w:rsid w:val="001B25C5"/>
    <w:rsid w:val="001B2F55"/>
    <w:rsid w:val="001B3335"/>
    <w:rsid w:val="001B3361"/>
    <w:rsid w:val="001B380C"/>
    <w:rsid w:val="001B3B92"/>
    <w:rsid w:val="001B4254"/>
    <w:rsid w:val="001B432C"/>
    <w:rsid w:val="001B550E"/>
    <w:rsid w:val="001B58CE"/>
    <w:rsid w:val="001B599F"/>
    <w:rsid w:val="001B5B04"/>
    <w:rsid w:val="001B6388"/>
    <w:rsid w:val="001B68FB"/>
    <w:rsid w:val="001B6AFD"/>
    <w:rsid w:val="001B759D"/>
    <w:rsid w:val="001B7EBC"/>
    <w:rsid w:val="001C0875"/>
    <w:rsid w:val="001C18D4"/>
    <w:rsid w:val="001C277F"/>
    <w:rsid w:val="001C28E9"/>
    <w:rsid w:val="001C2BA4"/>
    <w:rsid w:val="001C35CF"/>
    <w:rsid w:val="001C388C"/>
    <w:rsid w:val="001C3FC2"/>
    <w:rsid w:val="001C3FF8"/>
    <w:rsid w:val="001C44ED"/>
    <w:rsid w:val="001C4FB9"/>
    <w:rsid w:val="001C50EB"/>
    <w:rsid w:val="001C53F1"/>
    <w:rsid w:val="001C5BAC"/>
    <w:rsid w:val="001C5EF6"/>
    <w:rsid w:val="001C5F0B"/>
    <w:rsid w:val="001C64D8"/>
    <w:rsid w:val="001C6957"/>
    <w:rsid w:val="001C6A40"/>
    <w:rsid w:val="001C6D9A"/>
    <w:rsid w:val="001C7031"/>
    <w:rsid w:val="001C7A4F"/>
    <w:rsid w:val="001D095D"/>
    <w:rsid w:val="001D096B"/>
    <w:rsid w:val="001D0CAE"/>
    <w:rsid w:val="001D116B"/>
    <w:rsid w:val="001D1346"/>
    <w:rsid w:val="001D1611"/>
    <w:rsid w:val="001D1769"/>
    <w:rsid w:val="001D3354"/>
    <w:rsid w:val="001D3559"/>
    <w:rsid w:val="001D3A9D"/>
    <w:rsid w:val="001D3B4D"/>
    <w:rsid w:val="001D3C8D"/>
    <w:rsid w:val="001D3F09"/>
    <w:rsid w:val="001D4582"/>
    <w:rsid w:val="001D5D7D"/>
    <w:rsid w:val="001D60ED"/>
    <w:rsid w:val="001D6362"/>
    <w:rsid w:val="001D673E"/>
    <w:rsid w:val="001D6878"/>
    <w:rsid w:val="001D6A3F"/>
    <w:rsid w:val="001D6DE9"/>
    <w:rsid w:val="001D7559"/>
    <w:rsid w:val="001D784B"/>
    <w:rsid w:val="001D7DE9"/>
    <w:rsid w:val="001E0508"/>
    <w:rsid w:val="001E073A"/>
    <w:rsid w:val="001E0922"/>
    <w:rsid w:val="001E16D7"/>
    <w:rsid w:val="001E1B8C"/>
    <w:rsid w:val="001E1F24"/>
    <w:rsid w:val="001E2085"/>
    <w:rsid w:val="001E25AC"/>
    <w:rsid w:val="001E2836"/>
    <w:rsid w:val="001E2ACF"/>
    <w:rsid w:val="001E2DC0"/>
    <w:rsid w:val="001E30AC"/>
    <w:rsid w:val="001E3335"/>
    <w:rsid w:val="001E3C5E"/>
    <w:rsid w:val="001E3F6D"/>
    <w:rsid w:val="001E42A7"/>
    <w:rsid w:val="001E4466"/>
    <w:rsid w:val="001E4641"/>
    <w:rsid w:val="001E4680"/>
    <w:rsid w:val="001E4819"/>
    <w:rsid w:val="001E51A9"/>
    <w:rsid w:val="001E529D"/>
    <w:rsid w:val="001E5D13"/>
    <w:rsid w:val="001E5ED5"/>
    <w:rsid w:val="001E67F6"/>
    <w:rsid w:val="001E701E"/>
    <w:rsid w:val="001E73D6"/>
    <w:rsid w:val="001E766E"/>
    <w:rsid w:val="001E7BC3"/>
    <w:rsid w:val="001E7D97"/>
    <w:rsid w:val="001F00AD"/>
    <w:rsid w:val="001F01F4"/>
    <w:rsid w:val="001F02A1"/>
    <w:rsid w:val="001F02D3"/>
    <w:rsid w:val="001F04BB"/>
    <w:rsid w:val="001F0803"/>
    <w:rsid w:val="001F13E0"/>
    <w:rsid w:val="001F16C7"/>
    <w:rsid w:val="001F1AA9"/>
    <w:rsid w:val="001F1EE3"/>
    <w:rsid w:val="001F2245"/>
    <w:rsid w:val="001F239D"/>
    <w:rsid w:val="001F28E1"/>
    <w:rsid w:val="001F2D82"/>
    <w:rsid w:val="001F2F61"/>
    <w:rsid w:val="001F32CE"/>
    <w:rsid w:val="001F35C8"/>
    <w:rsid w:val="001F43E8"/>
    <w:rsid w:val="001F46B7"/>
    <w:rsid w:val="001F4CD1"/>
    <w:rsid w:val="001F522C"/>
    <w:rsid w:val="001F56EE"/>
    <w:rsid w:val="001F6C52"/>
    <w:rsid w:val="001F6F97"/>
    <w:rsid w:val="001F749D"/>
    <w:rsid w:val="001F7C67"/>
    <w:rsid w:val="001F7EE4"/>
    <w:rsid w:val="00200288"/>
    <w:rsid w:val="00200F33"/>
    <w:rsid w:val="0020102D"/>
    <w:rsid w:val="002015D9"/>
    <w:rsid w:val="002016FD"/>
    <w:rsid w:val="00201BF9"/>
    <w:rsid w:val="00201D9D"/>
    <w:rsid w:val="0020217C"/>
    <w:rsid w:val="002025FF"/>
    <w:rsid w:val="00202AA7"/>
    <w:rsid w:val="00202E18"/>
    <w:rsid w:val="002030C2"/>
    <w:rsid w:val="00203235"/>
    <w:rsid w:val="00204558"/>
    <w:rsid w:val="00204BF6"/>
    <w:rsid w:val="00204C22"/>
    <w:rsid w:val="00204E69"/>
    <w:rsid w:val="00205158"/>
    <w:rsid w:val="002051EF"/>
    <w:rsid w:val="002052F0"/>
    <w:rsid w:val="00205337"/>
    <w:rsid w:val="002057F3"/>
    <w:rsid w:val="002058C3"/>
    <w:rsid w:val="00205B33"/>
    <w:rsid w:val="00205CB1"/>
    <w:rsid w:val="00205EC8"/>
    <w:rsid w:val="00205FC3"/>
    <w:rsid w:val="0020651B"/>
    <w:rsid w:val="00206554"/>
    <w:rsid w:val="0020667F"/>
    <w:rsid w:val="00206965"/>
    <w:rsid w:val="0020700E"/>
    <w:rsid w:val="002071F4"/>
    <w:rsid w:val="00207948"/>
    <w:rsid w:val="00207B32"/>
    <w:rsid w:val="00207DA0"/>
    <w:rsid w:val="002107F6"/>
    <w:rsid w:val="00210928"/>
    <w:rsid w:val="00210A5A"/>
    <w:rsid w:val="00210C3E"/>
    <w:rsid w:val="00211064"/>
    <w:rsid w:val="0021196B"/>
    <w:rsid w:val="002119C2"/>
    <w:rsid w:val="00211AE3"/>
    <w:rsid w:val="00211E9A"/>
    <w:rsid w:val="002131DF"/>
    <w:rsid w:val="002133B5"/>
    <w:rsid w:val="0021354F"/>
    <w:rsid w:val="00213A1B"/>
    <w:rsid w:val="00213FCB"/>
    <w:rsid w:val="00214382"/>
    <w:rsid w:val="00214739"/>
    <w:rsid w:val="00214783"/>
    <w:rsid w:val="0021481A"/>
    <w:rsid w:val="00214B99"/>
    <w:rsid w:val="00214E79"/>
    <w:rsid w:val="00214FEF"/>
    <w:rsid w:val="0021531A"/>
    <w:rsid w:val="00215529"/>
    <w:rsid w:val="00215683"/>
    <w:rsid w:val="00215699"/>
    <w:rsid w:val="0021653D"/>
    <w:rsid w:val="002166C5"/>
    <w:rsid w:val="00216FE3"/>
    <w:rsid w:val="0021714D"/>
    <w:rsid w:val="00217260"/>
    <w:rsid w:val="002172EE"/>
    <w:rsid w:val="00217449"/>
    <w:rsid w:val="002177C7"/>
    <w:rsid w:val="00217A15"/>
    <w:rsid w:val="00220CF7"/>
    <w:rsid w:val="00220E1A"/>
    <w:rsid w:val="00221D72"/>
    <w:rsid w:val="002222A3"/>
    <w:rsid w:val="00222478"/>
    <w:rsid w:val="00222780"/>
    <w:rsid w:val="00222E03"/>
    <w:rsid w:val="0022316A"/>
    <w:rsid w:val="002235DC"/>
    <w:rsid w:val="00223789"/>
    <w:rsid w:val="00223E5D"/>
    <w:rsid w:val="00223FE6"/>
    <w:rsid w:val="0022400F"/>
    <w:rsid w:val="00224277"/>
    <w:rsid w:val="002243B7"/>
    <w:rsid w:val="00224492"/>
    <w:rsid w:val="0022502C"/>
    <w:rsid w:val="0022511A"/>
    <w:rsid w:val="0022533E"/>
    <w:rsid w:val="002259DB"/>
    <w:rsid w:val="00225DD1"/>
    <w:rsid w:val="0022602D"/>
    <w:rsid w:val="0022650F"/>
    <w:rsid w:val="00226862"/>
    <w:rsid w:val="0022732F"/>
    <w:rsid w:val="00227E37"/>
    <w:rsid w:val="00227FD5"/>
    <w:rsid w:val="00230233"/>
    <w:rsid w:val="002306EB"/>
    <w:rsid w:val="00230B84"/>
    <w:rsid w:val="002318B9"/>
    <w:rsid w:val="002318FA"/>
    <w:rsid w:val="00231DB1"/>
    <w:rsid w:val="002320F0"/>
    <w:rsid w:val="0023218D"/>
    <w:rsid w:val="00232293"/>
    <w:rsid w:val="00232D6E"/>
    <w:rsid w:val="00232EC2"/>
    <w:rsid w:val="002332E5"/>
    <w:rsid w:val="00233F9D"/>
    <w:rsid w:val="002346DE"/>
    <w:rsid w:val="00234E69"/>
    <w:rsid w:val="00234E70"/>
    <w:rsid w:val="002351B1"/>
    <w:rsid w:val="0023582E"/>
    <w:rsid w:val="00236430"/>
    <w:rsid w:val="0023654C"/>
    <w:rsid w:val="0023657A"/>
    <w:rsid w:val="002368A2"/>
    <w:rsid w:val="002377FE"/>
    <w:rsid w:val="002378BD"/>
    <w:rsid w:val="00240515"/>
    <w:rsid w:val="002405A9"/>
    <w:rsid w:val="00240A4F"/>
    <w:rsid w:val="00240C03"/>
    <w:rsid w:val="00240CD1"/>
    <w:rsid w:val="00240CE3"/>
    <w:rsid w:val="00240F24"/>
    <w:rsid w:val="00241633"/>
    <w:rsid w:val="00241899"/>
    <w:rsid w:val="00241C66"/>
    <w:rsid w:val="00241CB0"/>
    <w:rsid w:val="00242144"/>
    <w:rsid w:val="002429AB"/>
    <w:rsid w:val="00242AC1"/>
    <w:rsid w:val="002446D4"/>
    <w:rsid w:val="002448BF"/>
    <w:rsid w:val="00244C9C"/>
    <w:rsid w:val="00244D7F"/>
    <w:rsid w:val="00245326"/>
    <w:rsid w:val="002458F3"/>
    <w:rsid w:val="002462FF"/>
    <w:rsid w:val="00246A26"/>
    <w:rsid w:val="00246CC2"/>
    <w:rsid w:val="00246F72"/>
    <w:rsid w:val="002475C9"/>
    <w:rsid w:val="00247A6B"/>
    <w:rsid w:val="00247ABD"/>
    <w:rsid w:val="00247CBA"/>
    <w:rsid w:val="0025068E"/>
    <w:rsid w:val="00251827"/>
    <w:rsid w:val="00251C24"/>
    <w:rsid w:val="00252FBC"/>
    <w:rsid w:val="00253225"/>
    <w:rsid w:val="00254145"/>
    <w:rsid w:val="00254A15"/>
    <w:rsid w:val="002553B1"/>
    <w:rsid w:val="002554C6"/>
    <w:rsid w:val="00255A1E"/>
    <w:rsid w:val="00255D26"/>
    <w:rsid w:val="00255DF2"/>
    <w:rsid w:val="002560DB"/>
    <w:rsid w:val="002563A0"/>
    <w:rsid w:val="00256BAD"/>
    <w:rsid w:val="00256D37"/>
    <w:rsid w:val="00256FAC"/>
    <w:rsid w:val="0025725A"/>
    <w:rsid w:val="002572CA"/>
    <w:rsid w:val="002577FF"/>
    <w:rsid w:val="002578FC"/>
    <w:rsid w:val="00257948"/>
    <w:rsid w:val="002601A3"/>
    <w:rsid w:val="00260205"/>
    <w:rsid w:val="002609A5"/>
    <w:rsid w:val="00261446"/>
    <w:rsid w:val="002619E4"/>
    <w:rsid w:val="00262143"/>
    <w:rsid w:val="002631EA"/>
    <w:rsid w:val="00263ECC"/>
    <w:rsid w:val="00264798"/>
    <w:rsid w:val="00264FBB"/>
    <w:rsid w:val="00265160"/>
    <w:rsid w:val="002653A9"/>
    <w:rsid w:val="0026561E"/>
    <w:rsid w:val="0026634C"/>
    <w:rsid w:val="002665D3"/>
    <w:rsid w:val="002669AD"/>
    <w:rsid w:val="00266A92"/>
    <w:rsid w:val="00266C98"/>
    <w:rsid w:val="00266FD3"/>
    <w:rsid w:val="002672C4"/>
    <w:rsid w:val="0026737A"/>
    <w:rsid w:val="00271073"/>
    <w:rsid w:val="002713EB"/>
    <w:rsid w:val="00271C9A"/>
    <w:rsid w:val="00272E06"/>
    <w:rsid w:val="00273684"/>
    <w:rsid w:val="002737FA"/>
    <w:rsid w:val="00273D0B"/>
    <w:rsid w:val="0027415E"/>
    <w:rsid w:val="002741A6"/>
    <w:rsid w:val="00274396"/>
    <w:rsid w:val="00274610"/>
    <w:rsid w:val="00274707"/>
    <w:rsid w:val="00274908"/>
    <w:rsid w:val="00274D27"/>
    <w:rsid w:val="002750B9"/>
    <w:rsid w:val="002753B1"/>
    <w:rsid w:val="0027573D"/>
    <w:rsid w:val="00276345"/>
    <w:rsid w:val="00276365"/>
    <w:rsid w:val="00276C0A"/>
    <w:rsid w:val="00276C69"/>
    <w:rsid w:val="002771DB"/>
    <w:rsid w:val="00277CE3"/>
    <w:rsid w:val="00277F69"/>
    <w:rsid w:val="002800CC"/>
    <w:rsid w:val="002801BE"/>
    <w:rsid w:val="0028046C"/>
    <w:rsid w:val="00280677"/>
    <w:rsid w:val="002809D5"/>
    <w:rsid w:val="002809F8"/>
    <w:rsid w:val="00281222"/>
    <w:rsid w:val="00281795"/>
    <w:rsid w:val="00281936"/>
    <w:rsid w:val="00281DFF"/>
    <w:rsid w:val="00283911"/>
    <w:rsid w:val="002843C2"/>
    <w:rsid w:val="0028463E"/>
    <w:rsid w:val="002848D6"/>
    <w:rsid w:val="00284CFD"/>
    <w:rsid w:val="00285A7E"/>
    <w:rsid w:val="00285C32"/>
    <w:rsid w:val="00285FC3"/>
    <w:rsid w:val="00286585"/>
    <w:rsid w:val="0028664A"/>
    <w:rsid w:val="00286689"/>
    <w:rsid w:val="00286B59"/>
    <w:rsid w:val="00286BD5"/>
    <w:rsid w:val="00286C9C"/>
    <w:rsid w:val="0028742A"/>
    <w:rsid w:val="0028784F"/>
    <w:rsid w:val="00287987"/>
    <w:rsid w:val="00287B24"/>
    <w:rsid w:val="00287C4E"/>
    <w:rsid w:val="00287F37"/>
    <w:rsid w:val="00287F81"/>
    <w:rsid w:val="00287F9F"/>
    <w:rsid w:val="002908A4"/>
    <w:rsid w:val="00290D78"/>
    <w:rsid w:val="00290E22"/>
    <w:rsid w:val="002911BE"/>
    <w:rsid w:val="00291461"/>
    <w:rsid w:val="00291D94"/>
    <w:rsid w:val="002921BE"/>
    <w:rsid w:val="0029249D"/>
    <w:rsid w:val="00292AF2"/>
    <w:rsid w:val="00292CBC"/>
    <w:rsid w:val="00293A1B"/>
    <w:rsid w:val="00293EC8"/>
    <w:rsid w:val="00294725"/>
    <w:rsid w:val="00294894"/>
    <w:rsid w:val="00294969"/>
    <w:rsid w:val="00294A2A"/>
    <w:rsid w:val="00294ADB"/>
    <w:rsid w:val="00294B39"/>
    <w:rsid w:val="00295DD2"/>
    <w:rsid w:val="00296324"/>
    <w:rsid w:val="002963E3"/>
    <w:rsid w:val="00296804"/>
    <w:rsid w:val="00296D4D"/>
    <w:rsid w:val="00296F0F"/>
    <w:rsid w:val="002971C0"/>
    <w:rsid w:val="002977A2"/>
    <w:rsid w:val="00297D5C"/>
    <w:rsid w:val="002A0135"/>
    <w:rsid w:val="002A01BF"/>
    <w:rsid w:val="002A03C0"/>
    <w:rsid w:val="002A0927"/>
    <w:rsid w:val="002A0AE8"/>
    <w:rsid w:val="002A1214"/>
    <w:rsid w:val="002A2B09"/>
    <w:rsid w:val="002A2BC8"/>
    <w:rsid w:val="002A31E5"/>
    <w:rsid w:val="002A334E"/>
    <w:rsid w:val="002A483C"/>
    <w:rsid w:val="002A49F5"/>
    <w:rsid w:val="002A4D15"/>
    <w:rsid w:val="002A5394"/>
    <w:rsid w:val="002A542F"/>
    <w:rsid w:val="002A57C5"/>
    <w:rsid w:val="002A6573"/>
    <w:rsid w:val="002A6B2D"/>
    <w:rsid w:val="002A7335"/>
    <w:rsid w:val="002A7610"/>
    <w:rsid w:val="002A7838"/>
    <w:rsid w:val="002A7907"/>
    <w:rsid w:val="002B0A31"/>
    <w:rsid w:val="002B0A35"/>
    <w:rsid w:val="002B0AC1"/>
    <w:rsid w:val="002B0D9B"/>
    <w:rsid w:val="002B10D7"/>
    <w:rsid w:val="002B151D"/>
    <w:rsid w:val="002B2013"/>
    <w:rsid w:val="002B29D7"/>
    <w:rsid w:val="002B3E7C"/>
    <w:rsid w:val="002B411A"/>
    <w:rsid w:val="002B4364"/>
    <w:rsid w:val="002B4498"/>
    <w:rsid w:val="002B53A6"/>
    <w:rsid w:val="002B5E80"/>
    <w:rsid w:val="002B6801"/>
    <w:rsid w:val="002B742E"/>
    <w:rsid w:val="002B7470"/>
    <w:rsid w:val="002C040D"/>
    <w:rsid w:val="002C06CA"/>
    <w:rsid w:val="002C1073"/>
    <w:rsid w:val="002C20FD"/>
    <w:rsid w:val="002C2224"/>
    <w:rsid w:val="002C2A77"/>
    <w:rsid w:val="002C2E12"/>
    <w:rsid w:val="002C3594"/>
    <w:rsid w:val="002C3A2F"/>
    <w:rsid w:val="002C3C02"/>
    <w:rsid w:val="002C3CD5"/>
    <w:rsid w:val="002C44CC"/>
    <w:rsid w:val="002C55A6"/>
    <w:rsid w:val="002C5B4F"/>
    <w:rsid w:val="002C5EB5"/>
    <w:rsid w:val="002C5EC2"/>
    <w:rsid w:val="002C603A"/>
    <w:rsid w:val="002C6070"/>
    <w:rsid w:val="002C61D3"/>
    <w:rsid w:val="002C6974"/>
    <w:rsid w:val="002C763D"/>
    <w:rsid w:val="002D04EE"/>
    <w:rsid w:val="002D13C3"/>
    <w:rsid w:val="002D1BCF"/>
    <w:rsid w:val="002D1D01"/>
    <w:rsid w:val="002D22DF"/>
    <w:rsid w:val="002D46EF"/>
    <w:rsid w:val="002D4954"/>
    <w:rsid w:val="002D4FAF"/>
    <w:rsid w:val="002D5277"/>
    <w:rsid w:val="002D5EAA"/>
    <w:rsid w:val="002D6989"/>
    <w:rsid w:val="002D69B5"/>
    <w:rsid w:val="002D6C61"/>
    <w:rsid w:val="002D6CA1"/>
    <w:rsid w:val="002D771C"/>
    <w:rsid w:val="002D78B5"/>
    <w:rsid w:val="002D7EFB"/>
    <w:rsid w:val="002E0428"/>
    <w:rsid w:val="002E04AD"/>
    <w:rsid w:val="002E052E"/>
    <w:rsid w:val="002E1802"/>
    <w:rsid w:val="002E1BBB"/>
    <w:rsid w:val="002E208A"/>
    <w:rsid w:val="002E2BD7"/>
    <w:rsid w:val="002E2E66"/>
    <w:rsid w:val="002E3748"/>
    <w:rsid w:val="002E3812"/>
    <w:rsid w:val="002E3DC7"/>
    <w:rsid w:val="002E3FF6"/>
    <w:rsid w:val="002E4206"/>
    <w:rsid w:val="002E483B"/>
    <w:rsid w:val="002E4EE6"/>
    <w:rsid w:val="002E4F95"/>
    <w:rsid w:val="002E4FC8"/>
    <w:rsid w:val="002E56B6"/>
    <w:rsid w:val="002E5A26"/>
    <w:rsid w:val="002E6172"/>
    <w:rsid w:val="002E6207"/>
    <w:rsid w:val="002E6692"/>
    <w:rsid w:val="002E6A27"/>
    <w:rsid w:val="002E6F80"/>
    <w:rsid w:val="002E7AA5"/>
    <w:rsid w:val="002E7D13"/>
    <w:rsid w:val="002E7D18"/>
    <w:rsid w:val="002E7D2C"/>
    <w:rsid w:val="002F0461"/>
    <w:rsid w:val="002F0C99"/>
    <w:rsid w:val="002F0CEB"/>
    <w:rsid w:val="002F0F45"/>
    <w:rsid w:val="002F13F1"/>
    <w:rsid w:val="002F26D9"/>
    <w:rsid w:val="002F2BAF"/>
    <w:rsid w:val="002F2C6E"/>
    <w:rsid w:val="002F2CA1"/>
    <w:rsid w:val="002F33D9"/>
    <w:rsid w:val="002F36A8"/>
    <w:rsid w:val="002F3ED8"/>
    <w:rsid w:val="002F4088"/>
    <w:rsid w:val="002F4CBA"/>
    <w:rsid w:val="002F56A9"/>
    <w:rsid w:val="002F5750"/>
    <w:rsid w:val="002F58A4"/>
    <w:rsid w:val="002F5B75"/>
    <w:rsid w:val="002F6884"/>
    <w:rsid w:val="002F6F28"/>
    <w:rsid w:val="002F79AA"/>
    <w:rsid w:val="002F7BDB"/>
    <w:rsid w:val="002F7E7F"/>
    <w:rsid w:val="003000E7"/>
    <w:rsid w:val="00300269"/>
    <w:rsid w:val="00300A10"/>
    <w:rsid w:val="00300F19"/>
    <w:rsid w:val="003017CE"/>
    <w:rsid w:val="00301AA9"/>
    <w:rsid w:val="00301B38"/>
    <w:rsid w:val="00301EFD"/>
    <w:rsid w:val="00302237"/>
    <w:rsid w:val="0030274E"/>
    <w:rsid w:val="00303027"/>
    <w:rsid w:val="0030408E"/>
    <w:rsid w:val="0030451C"/>
    <w:rsid w:val="00304550"/>
    <w:rsid w:val="00304BF1"/>
    <w:rsid w:val="00304C6C"/>
    <w:rsid w:val="00304C7B"/>
    <w:rsid w:val="003050AC"/>
    <w:rsid w:val="003054A7"/>
    <w:rsid w:val="003059DE"/>
    <w:rsid w:val="00305E06"/>
    <w:rsid w:val="0030672F"/>
    <w:rsid w:val="00307675"/>
    <w:rsid w:val="0030771B"/>
    <w:rsid w:val="00307882"/>
    <w:rsid w:val="00310403"/>
    <w:rsid w:val="00310F40"/>
    <w:rsid w:val="0031168F"/>
    <w:rsid w:val="00312741"/>
    <w:rsid w:val="0031288B"/>
    <w:rsid w:val="0031299A"/>
    <w:rsid w:val="00312D51"/>
    <w:rsid w:val="00312DCB"/>
    <w:rsid w:val="00312FB7"/>
    <w:rsid w:val="003136A8"/>
    <w:rsid w:val="00313903"/>
    <w:rsid w:val="00313FFC"/>
    <w:rsid w:val="00315064"/>
    <w:rsid w:val="00315344"/>
    <w:rsid w:val="003162E6"/>
    <w:rsid w:val="00317291"/>
    <w:rsid w:val="003177CB"/>
    <w:rsid w:val="0031781B"/>
    <w:rsid w:val="00317F0A"/>
    <w:rsid w:val="00320375"/>
    <w:rsid w:val="00320A95"/>
    <w:rsid w:val="00320C78"/>
    <w:rsid w:val="00320CB1"/>
    <w:rsid w:val="00320EBC"/>
    <w:rsid w:val="00321059"/>
    <w:rsid w:val="003212A7"/>
    <w:rsid w:val="0032132A"/>
    <w:rsid w:val="00321BB8"/>
    <w:rsid w:val="00321D72"/>
    <w:rsid w:val="00321F27"/>
    <w:rsid w:val="00321F67"/>
    <w:rsid w:val="003225DB"/>
    <w:rsid w:val="00322AFA"/>
    <w:rsid w:val="003232E1"/>
    <w:rsid w:val="003239CF"/>
    <w:rsid w:val="00323D87"/>
    <w:rsid w:val="00323F00"/>
    <w:rsid w:val="00324264"/>
    <w:rsid w:val="003245E8"/>
    <w:rsid w:val="00324B85"/>
    <w:rsid w:val="003258C0"/>
    <w:rsid w:val="00325D54"/>
    <w:rsid w:val="00325DE0"/>
    <w:rsid w:val="00325DE1"/>
    <w:rsid w:val="00326048"/>
    <w:rsid w:val="00327059"/>
    <w:rsid w:val="0033076E"/>
    <w:rsid w:val="003308B8"/>
    <w:rsid w:val="003309C5"/>
    <w:rsid w:val="003311B7"/>
    <w:rsid w:val="003322C5"/>
    <w:rsid w:val="003324CD"/>
    <w:rsid w:val="003328A7"/>
    <w:rsid w:val="003329A4"/>
    <w:rsid w:val="00332D8A"/>
    <w:rsid w:val="00333190"/>
    <w:rsid w:val="00333A5B"/>
    <w:rsid w:val="003344B8"/>
    <w:rsid w:val="00334705"/>
    <w:rsid w:val="0033487F"/>
    <w:rsid w:val="00334A4D"/>
    <w:rsid w:val="00334A85"/>
    <w:rsid w:val="00334D41"/>
    <w:rsid w:val="00334EB8"/>
    <w:rsid w:val="00335553"/>
    <w:rsid w:val="00335607"/>
    <w:rsid w:val="003357DC"/>
    <w:rsid w:val="00335803"/>
    <w:rsid w:val="00335B7A"/>
    <w:rsid w:val="003360BB"/>
    <w:rsid w:val="003360F6"/>
    <w:rsid w:val="00336207"/>
    <w:rsid w:val="0033629E"/>
    <w:rsid w:val="00336418"/>
    <w:rsid w:val="00336C60"/>
    <w:rsid w:val="00336E98"/>
    <w:rsid w:val="0033729C"/>
    <w:rsid w:val="0033739B"/>
    <w:rsid w:val="00337A16"/>
    <w:rsid w:val="0034018A"/>
    <w:rsid w:val="003408AD"/>
    <w:rsid w:val="003408BF"/>
    <w:rsid w:val="00340AD1"/>
    <w:rsid w:val="00341045"/>
    <w:rsid w:val="003410C6"/>
    <w:rsid w:val="00341526"/>
    <w:rsid w:val="00341F49"/>
    <w:rsid w:val="00341F86"/>
    <w:rsid w:val="003430B5"/>
    <w:rsid w:val="0034336F"/>
    <w:rsid w:val="0034351D"/>
    <w:rsid w:val="00344614"/>
    <w:rsid w:val="00344747"/>
    <w:rsid w:val="00344A4C"/>
    <w:rsid w:val="0034560A"/>
    <w:rsid w:val="00345B89"/>
    <w:rsid w:val="00345D66"/>
    <w:rsid w:val="00345DE3"/>
    <w:rsid w:val="00346302"/>
    <w:rsid w:val="00346496"/>
    <w:rsid w:val="003465ED"/>
    <w:rsid w:val="0034663D"/>
    <w:rsid w:val="003468DB"/>
    <w:rsid w:val="00346912"/>
    <w:rsid w:val="003469B2"/>
    <w:rsid w:val="00346A2D"/>
    <w:rsid w:val="00346D0B"/>
    <w:rsid w:val="003473DF"/>
    <w:rsid w:val="00347894"/>
    <w:rsid w:val="00347BAE"/>
    <w:rsid w:val="00350373"/>
    <w:rsid w:val="003505ED"/>
    <w:rsid w:val="003507B6"/>
    <w:rsid w:val="00350942"/>
    <w:rsid w:val="00350BCC"/>
    <w:rsid w:val="0035116F"/>
    <w:rsid w:val="003519A1"/>
    <w:rsid w:val="003519AE"/>
    <w:rsid w:val="00351D11"/>
    <w:rsid w:val="003526EB"/>
    <w:rsid w:val="00352827"/>
    <w:rsid w:val="0035293B"/>
    <w:rsid w:val="00352AD2"/>
    <w:rsid w:val="0035314D"/>
    <w:rsid w:val="0035350F"/>
    <w:rsid w:val="003536B1"/>
    <w:rsid w:val="00354582"/>
    <w:rsid w:val="00354AE9"/>
    <w:rsid w:val="0035528E"/>
    <w:rsid w:val="00355680"/>
    <w:rsid w:val="0035597D"/>
    <w:rsid w:val="00355C49"/>
    <w:rsid w:val="003562F3"/>
    <w:rsid w:val="00356520"/>
    <w:rsid w:val="00357140"/>
    <w:rsid w:val="00357164"/>
    <w:rsid w:val="00360323"/>
    <w:rsid w:val="0036062F"/>
    <w:rsid w:val="0036086C"/>
    <w:rsid w:val="00360C2A"/>
    <w:rsid w:val="003614C8"/>
    <w:rsid w:val="00361856"/>
    <w:rsid w:val="003618EA"/>
    <w:rsid w:val="00361BE2"/>
    <w:rsid w:val="00361CE9"/>
    <w:rsid w:val="00361EDC"/>
    <w:rsid w:val="003620D0"/>
    <w:rsid w:val="00362AC7"/>
    <w:rsid w:val="00362C67"/>
    <w:rsid w:val="003635A0"/>
    <w:rsid w:val="00363EFA"/>
    <w:rsid w:val="00363FC6"/>
    <w:rsid w:val="00364258"/>
    <w:rsid w:val="0036435F"/>
    <w:rsid w:val="00364615"/>
    <w:rsid w:val="00364750"/>
    <w:rsid w:val="00364914"/>
    <w:rsid w:val="00364ABB"/>
    <w:rsid w:val="00365057"/>
    <w:rsid w:val="00365664"/>
    <w:rsid w:val="00365D71"/>
    <w:rsid w:val="00366458"/>
    <w:rsid w:val="003669E9"/>
    <w:rsid w:val="00366C18"/>
    <w:rsid w:val="00366CF3"/>
    <w:rsid w:val="003675EE"/>
    <w:rsid w:val="003679BB"/>
    <w:rsid w:val="00367D9F"/>
    <w:rsid w:val="00367F75"/>
    <w:rsid w:val="00370615"/>
    <w:rsid w:val="003706EF"/>
    <w:rsid w:val="00370A06"/>
    <w:rsid w:val="00370B8A"/>
    <w:rsid w:val="00371461"/>
    <w:rsid w:val="003717B0"/>
    <w:rsid w:val="00371D93"/>
    <w:rsid w:val="003721D9"/>
    <w:rsid w:val="003725EE"/>
    <w:rsid w:val="0037318E"/>
    <w:rsid w:val="00373445"/>
    <w:rsid w:val="00373724"/>
    <w:rsid w:val="00374096"/>
    <w:rsid w:val="00374618"/>
    <w:rsid w:val="00375D0D"/>
    <w:rsid w:val="00375D5B"/>
    <w:rsid w:val="00376278"/>
    <w:rsid w:val="00377055"/>
    <w:rsid w:val="003804EA"/>
    <w:rsid w:val="00380709"/>
    <w:rsid w:val="003808D6"/>
    <w:rsid w:val="00380F54"/>
    <w:rsid w:val="00381A88"/>
    <w:rsid w:val="00381F01"/>
    <w:rsid w:val="00382080"/>
    <w:rsid w:val="003821D8"/>
    <w:rsid w:val="00382535"/>
    <w:rsid w:val="003827BB"/>
    <w:rsid w:val="003827FA"/>
    <w:rsid w:val="00382800"/>
    <w:rsid w:val="00382BB7"/>
    <w:rsid w:val="00382C1D"/>
    <w:rsid w:val="00382E89"/>
    <w:rsid w:val="00382EAE"/>
    <w:rsid w:val="003831D4"/>
    <w:rsid w:val="003837BF"/>
    <w:rsid w:val="00383E31"/>
    <w:rsid w:val="00384164"/>
    <w:rsid w:val="003841F8"/>
    <w:rsid w:val="00384E57"/>
    <w:rsid w:val="00385292"/>
    <w:rsid w:val="00385320"/>
    <w:rsid w:val="0038532E"/>
    <w:rsid w:val="00385452"/>
    <w:rsid w:val="00386500"/>
    <w:rsid w:val="003867F7"/>
    <w:rsid w:val="00386AE3"/>
    <w:rsid w:val="00386CC0"/>
    <w:rsid w:val="00386DAA"/>
    <w:rsid w:val="003870DF"/>
    <w:rsid w:val="003871DA"/>
    <w:rsid w:val="0038729E"/>
    <w:rsid w:val="003877C4"/>
    <w:rsid w:val="00387A5B"/>
    <w:rsid w:val="00390045"/>
    <w:rsid w:val="00390050"/>
    <w:rsid w:val="00390A4D"/>
    <w:rsid w:val="003919AA"/>
    <w:rsid w:val="00391A10"/>
    <w:rsid w:val="003924A8"/>
    <w:rsid w:val="0039266C"/>
    <w:rsid w:val="0039280B"/>
    <w:rsid w:val="00392BD7"/>
    <w:rsid w:val="00393A24"/>
    <w:rsid w:val="0039400A"/>
    <w:rsid w:val="003945E9"/>
    <w:rsid w:val="00394622"/>
    <w:rsid w:val="003948A5"/>
    <w:rsid w:val="00394C48"/>
    <w:rsid w:val="00395213"/>
    <w:rsid w:val="00395BA3"/>
    <w:rsid w:val="00395CB7"/>
    <w:rsid w:val="003965FA"/>
    <w:rsid w:val="003968A4"/>
    <w:rsid w:val="00396AE3"/>
    <w:rsid w:val="00396CA5"/>
    <w:rsid w:val="00397090"/>
    <w:rsid w:val="003977C1"/>
    <w:rsid w:val="00397E4C"/>
    <w:rsid w:val="003A023E"/>
    <w:rsid w:val="003A0468"/>
    <w:rsid w:val="003A06E5"/>
    <w:rsid w:val="003A0A4D"/>
    <w:rsid w:val="003A0BCA"/>
    <w:rsid w:val="003A19C8"/>
    <w:rsid w:val="003A1B37"/>
    <w:rsid w:val="003A2633"/>
    <w:rsid w:val="003A2757"/>
    <w:rsid w:val="003A2AFA"/>
    <w:rsid w:val="003A2E69"/>
    <w:rsid w:val="003A3914"/>
    <w:rsid w:val="003A3CE5"/>
    <w:rsid w:val="003A3FE7"/>
    <w:rsid w:val="003A40A3"/>
    <w:rsid w:val="003A42F9"/>
    <w:rsid w:val="003A4755"/>
    <w:rsid w:val="003A4A66"/>
    <w:rsid w:val="003A5559"/>
    <w:rsid w:val="003A5DB8"/>
    <w:rsid w:val="003A6689"/>
    <w:rsid w:val="003A6C4A"/>
    <w:rsid w:val="003A6C7B"/>
    <w:rsid w:val="003A6FE4"/>
    <w:rsid w:val="003A705E"/>
    <w:rsid w:val="003A7081"/>
    <w:rsid w:val="003A7533"/>
    <w:rsid w:val="003A776F"/>
    <w:rsid w:val="003A7A74"/>
    <w:rsid w:val="003A7D72"/>
    <w:rsid w:val="003A7DB7"/>
    <w:rsid w:val="003B0010"/>
    <w:rsid w:val="003B024E"/>
    <w:rsid w:val="003B04CF"/>
    <w:rsid w:val="003B04F8"/>
    <w:rsid w:val="003B0A5A"/>
    <w:rsid w:val="003B0C31"/>
    <w:rsid w:val="003B138A"/>
    <w:rsid w:val="003B147F"/>
    <w:rsid w:val="003B16FC"/>
    <w:rsid w:val="003B173E"/>
    <w:rsid w:val="003B188F"/>
    <w:rsid w:val="003B1927"/>
    <w:rsid w:val="003B2341"/>
    <w:rsid w:val="003B240D"/>
    <w:rsid w:val="003B26B6"/>
    <w:rsid w:val="003B2D5B"/>
    <w:rsid w:val="003B351E"/>
    <w:rsid w:val="003B3627"/>
    <w:rsid w:val="003B36BA"/>
    <w:rsid w:val="003B39C4"/>
    <w:rsid w:val="003B3ACE"/>
    <w:rsid w:val="003B3B67"/>
    <w:rsid w:val="003B4058"/>
    <w:rsid w:val="003B43FE"/>
    <w:rsid w:val="003B48DC"/>
    <w:rsid w:val="003B4924"/>
    <w:rsid w:val="003B4BBE"/>
    <w:rsid w:val="003B4EC3"/>
    <w:rsid w:val="003B5148"/>
    <w:rsid w:val="003B582A"/>
    <w:rsid w:val="003B6B45"/>
    <w:rsid w:val="003B6DDB"/>
    <w:rsid w:val="003B6E07"/>
    <w:rsid w:val="003B7185"/>
    <w:rsid w:val="003B7271"/>
    <w:rsid w:val="003B786D"/>
    <w:rsid w:val="003B7E5A"/>
    <w:rsid w:val="003C047E"/>
    <w:rsid w:val="003C052A"/>
    <w:rsid w:val="003C176B"/>
    <w:rsid w:val="003C195E"/>
    <w:rsid w:val="003C1BA0"/>
    <w:rsid w:val="003C1C54"/>
    <w:rsid w:val="003C1F44"/>
    <w:rsid w:val="003C1FB0"/>
    <w:rsid w:val="003C21F2"/>
    <w:rsid w:val="003C2B21"/>
    <w:rsid w:val="003C2C45"/>
    <w:rsid w:val="003C2E49"/>
    <w:rsid w:val="003C338E"/>
    <w:rsid w:val="003C33EB"/>
    <w:rsid w:val="003C3727"/>
    <w:rsid w:val="003C3927"/>
    <w:rsid w:val="003C397C"/>
    <w:rsid w:val="003C3E58"/>
    <w:rsid w:val="003C40F5"/>
    <w:rsid w:val="003C47BE"/>
    <w:rsid w:val="003C49AF"/>
    <w:rsid w:val="003C4EF9"/>
    <w:rsid w:val="003C4F1A"/>
    <w:rsid w:val="003C4FAE"/>
    <w:rsid w:val="003C4FB3"/>
    <w:rsid w:val="003C52B7"/>
    <w:rsid w:val="003C549D"/>
    <w:rsid w:val="003C5626"/>
    <w:rsid w:val="003C5C35"/>
    <w:rsid w:val="003C5D68"/>
    <w:rsid w:val="003C6874"/>
    <w:rsid w:val="003C69D5"/>
    <w:rsid w:val="003C6B72"/>
    <w:rsid w:val="003C70B0"/>
    <w:rsid w:val="003C74FE"/>
    <w:rsid w:val="003C7ADB"/>
    <w:rsid w:val="003C7D72"/>
    <w:rsid w:val="003C7F57"/>
    <w:rsid w:val="003D071D"/>
    <w:rsid w:val="003D12EF"/>
    <w:rsid w:val="003D133A"/>
    <w:rsid w:val="003D1B6B"/>
    <w:rsid w:val="003D1BAF"/>
    <w:rsid w:val="003D1CA6"/>
    <w:rsid w:val="003D2119"/>
    <w:rsid w:val="003D219C"/>
    <w:rsid w:val="003D3068"/>
    <w:rsid w:val="003D30C4"/>
    <w:rsid w:val="003D347F"/>
    <w:rsid w:val="003D3BA7"/>
    <w:rsid w:val="003D46E8"/>
    <w:rsid w:val="003D5606"/>
    <w:rsid w:val="003D5634"/>
    <w:rsid w:val="003D583C"/>
    <w:rsid w:val="003D58DF"/>
    <w:rsid w:val="003D5B06"/>
    <w:rsid w:val="003D5EEC"/>
    <w:rsid w:val="003D6468"/>
    <w:rsid w:val="003D6B57"/>
    <w:rsid w:val="003D7027"/>
    <w:rsid w:val="003D7218"/>
    <w:rsid w:val="003D79C7"/>
    <w:rsid w:val="003D7DD2"/>
    <w:rsid w:val="003D7EBD"/>
    <w:rsid w:val="003E0304"/>
    <w:rsid w:val="003E08F3"/>
    <w:rsid w:val="003E0A31"/>
    <w:rsid w:val="003E0F5B"/>
    <w:rsid w:val="003E1031"/>
    <w:rsid w:val="003E1540"/>
    <w:rsid w:val="003E20C2"/>
    <w:rsid w:val="003E220A"/>
    <w:rsid w:val="003E2CDA"/>
    <w:rsid w:val="003E3123"/>
    <w:rsid w:val="003E3632"/>
    <w:rsid w:val="003E3E59"/>
    <w:rsid w:val="003E4261"/>
    <w:rsid w:val="003E42F3"/>
    <w:rsid w:val="003E4D26"/>
    <w:rsid w:val="003E4DD7"/>
    <w:rsid w:val="003E55E9"/>
    <w:rsid w:val="003E5B20"/>
    <w:rsid w:val="003E5FFB"/>
    <w:rsid w:val="003E6163"/>
    <w:rsid w:val="003E627B"/>
    <w:rsid w:val="003E62AE"/>
    <w:rsid w:val="003E6889"/>
    <w:rsid w:val="003E72BF"/>
    <w:rsid w:val="003E735E"/>
    <w:rsid w:val="003E7642"/>
    <w:rsid w:val="003E7F6C"/>
    <w:rsid w:val="003F03D7"/>
    <w:rsid w:val="003F03FE"/>
    <w:rsid w:val="003F0473"/>
    <w:rsid w:val="003F0F53"/>
    <w:rsid w:val="003F11FB"/>
    <w:rsid w:val="003F13E3"/>
    <w:rsid w:val="003F150F"/>
    <w:rsid w:val="003F172F"/>
    <w:rsid w:val="003F1CE1"/>
    <w:rsid w:val="003F3005"/>
    <w:rsid w:val="003F38ED"/>
    <w:rsid w:val="003F42EE"/>
    <w:rsid w:val="003F4374"/>
    <w:rsid w:val="003F4E31"/>
    <w:rsid w:val="003F4EFF"/>
    <w:rsid w:val="003F50ED"/>
    <w:rsid w:val="003F584C"/>
    <w:rsid w:val="003F64E4"/>
    <w:rsid w:val="003F663A"/>
    <w:rsid w:val="003F6C78"/>
    <w:rsid w:val="003F724F"/>
    <w:rsid w:val="003F7A14"/>
    <w:rsid w:val="003F7C15"/>
    <w:rsid w:val="004004B6"/>
    <w:rsid w:val="004004B9"/>
    <w:rsid w:val="004004F6"/>
    <w:rsid w:val="00400588"/>
    <w:rsid w:val="00400FFC"/>
    <w:rsid w:val="004014C9"/>
    <w:rsid w:val="00401804"/>
    <w:rsid w:val="00401CA6"/>
    <w:rsid w:val="00401D17"/>
    <w:rsid w:val="004022C7"/>
    <w:rsid w:val="00402393"/>
    <w:rsid w:val="0040281A"/>
    <w:rsid w:val="004029C4"/>
    <w:rsid w:val="00402E27"/>
    <w:rsid w:val="00402EA8"/>
    <w:rsid w:val="00403086"/>
    <w:rsid w:val="00403153"/>
    <w:rsid w:val="00403AEB"/>
    <w:rsid w:val="00403CB7"/>
    <w:rsid w:val="004044C2"/>
    <w:rsid w:val="00404622"/>
    <w:rsid w:val="00404B7D"/>
    <w:rsid w:val="00404CBF"/>
    <w:rsid w:val="00405CC5"/>
    <w:rsid w:val="00405CFB"/>
    <w:rsid w:val="00405DB6"/>
    <w:rsid w:val="004067AD"/>
    <w:rsid w:val="00406937"/>
    <w:rsid w:val="004069AB"/>
    <w:rsid w:val="00406DF2"/>
    <w:rsid w:val="004077D7"/>
    <w:rsid w:val="00407E09"/>
    <w:rsid w:val="00410076"/>
    <w:rsid w:val="004100DB"/>
    <w:rsid w:val="00410677"/>
    <w:rsid w:val="0041096E"/>
    <w:rsid w:val="00410FAD"/>
    <w:rsid w:val="00411237"/>
    <w:rsid w:val="00411D87"/>
    <w:rsid w:val="004121A2"/>
    <w:rsid w:val="00412CBF"/>
    <w:rsid w:val="00412DC6"/>
    <w:rsid w:val="00413115"/>
    <w:rsid w:val="004133DD"/>
    <w:rsid w:val="00413E11"/>
    <w:rsid w:val="00414A11"/>
    <w:rsid w:val="00414F75"/>
    <w:rsid w:val="0041533E"/>
    <w:rsid w:val="00415EC4"/>
    <w:rsid w:val="00416585"/>
    <w:rsid w:val="00416818"/>
    <w:rsid w:val="00416AC3"/>
    <w:rsid w:val="00416B69"/>
    <w:rsid w:val="004178CE"/>
    <w:rsid w:val="0042001A"/>
    <w:rsid w:val="004205B0"/>
    <w:rsid w:val="00420A39"/>
    <w:rsid w:val="004217F3"/>
    <w:rsid w:val="00421ECE"/>
    <w:rsid w:val="00422246"/>
    <w:rsid w:val="00422283"/>
    <w:rsid w:val="004234A2"/>
    <w:rsid w:val="00423BA2"/>
    <w:rsid w:val="00423BBC"/>
    <w:rsid w:val="00425402"/>
    <w:rsid w:val="00425C42"/>
    <w:rsid w:val="00425CF2"/>
    <w:rsid w:val="004264DE"/>
    <w:rsid w:val="00426AFF"/>
    <w:rsid w:val="00427062"/>
    <w:rsid w:val="00427437"/>
    <w:rsid w:val="00427536"/>
    <w:rsid w:val="00427A33"/>
    <w:rsid w:val="00427AC8"/>
    <w:rsid w:val="00427B11"/>
    <w:rsid w:val="00427B23"/>
    <w:rsid w:val="00427F38"/>
    <w:rsid w:val="00430085"/>
    <w:rsid w:val="00430E2D"/>
    <w:rsid w:val="00431185"/>
    <w:rsid w:val="00431812"/>
    <w:rsid w:val="00431815"/>
    <w:rsid w:val="004319DB"/>
    <w:rsid w:val="00431A94"/>
    <w:rsid w:val="00431CC1"/>
    <w:rsid w:val="00432457"/>
    <w:rsid w:val="004325B5"/>
    <w:rsid w:val="004336B7"/>
    <w:rsid w:val="00433733"/>
    <w:rsid w:val="00433DE8"/>
    <w:rsid w:val="004345CD"/>
    <w:rsid w:val="00434E6E"/>
    <w:rsid w:val="0043527E"/>
    <w:rsid w:val="0043535A"/>
    <w:rsid w:val="004361FB"/>
    <w:rsid w:val="00436E89"/>
    <w:rsid w:val="00436E9F"/>
    <w:rsid w:val="0043736D"/>
    <w:rsid w:val="00437DBE"/>
    <w:rsid w:val="004402DE"/>
    <w:rsid w:val="004402F8"/>
    <w:rsid w:val="0044038D"/>
    <w:rsid w:val="00440655"/>
    <w:rsid w:val="004407E0"/>
    <w:rsid w:val="0044105B"/>
    <w:rsid w:val="00441266"/>
    <w:rsid w:val="004412DD"/>
    <w:rsid w:val="004414C5"/>
    <w:rsid w:val="004414F6"/>
    <w:rsid w:val="00441DE5"/>
    <w:rsid w:val="00441FC2"/>
    <w:rsid w:val="00442E65"/>
    <w:rsid w:val="004430B7"/>
    <w:rsid w:val="004431D0"/>
    <w:rsid w:val="004438D0"/>
    <w:rsid w:val="00443C33"/>
    <w:rsid w:val="00443F84"/>
    <w:rsid w:val="00443FB0"/>
    <w:rsid w:val="00444E3E"/>
    <w:rsid w:val="00445442"/>
    <w:rsid w:val="00445965"/>
    <w:rsid w:val="00445A9B"/>
    <w:rsid w:val="00445BB2"/>
    <w:rsid w:val="00446A1F"/>
    <w:rsid w:val="00446C36"/>
    <w:rsid w:val="00446DE1"/>
    <w:rsid w:val="00447E86"/>
    <w:rsid w:val="00447EBC"/>
    <w:rsid w:val="00447EC3"/>
    <w:rsid w:val="004506EF"/>
    <w:rsid w:val="00450848"/>
    <w:rsid w:val="004510FB"/>
    <w:rsid w:val="00451391"/>
    <w:rsid w:val="00451745"/>
    <w:rsid w:val="00451885"/>
    <w:rsid w:val="00451A98"/>
    <w:rsid w:val="00451F8D"/>
    <w:rsid w:val="00453353"/>
    <w:rsid w:val="00453492"/>
    <w:rsid w:val="00453864"/>
    <w:rsid w:val="004541B7"/>
    <w:rsid w:val="00454352"/>
    <w:rsid w:val="0045441E"/>
    <w:rsid w:val="00454E56"/>
    <w:rsid w:val="004553F2"/>
    <w:rsid w:val="00455B5F"/>
    <w:rsid w:val="00455EC7"/>
    <w:rsid w:val="0045604C"/>
    <w:rsid w:val="00456361"/>
    <w:rsid w:val="00456BB8"/>
    <w:rsid w:val="00456F30"/>
    <w:rsid w:val="00456FF3"/>
    <w:rsid w:val="00457EAA"/>
    <w:rsid w:val="00457EC7"/>
    <w:rsid w:val="004602C2"/>
    <w:rsid w:val="004603FA"/>
    <w:rsid w:val="00460D26"/>
    <w:rsid w:val="0046101A"/>
    <w:rsid w:val="00461659"/>
    <w:rsid w:val="00461E80"/>
    <w:rsid w:val="004624EE"/>
    <w:rsid w:val="0046297B"/>
    <w:rsid w:val="0046306E"/>
    <w:rsid w:val="0046314A"/>
    <w:rsid w:val="0046326E"/>
    <w:rsid w:val="00463567"/>
    <w:rsid w:val="00464D5E"/>
    <w:rsid w:val="00465113"/>
    <w:rsid w:val="00465248"/>
    <w:rsid w:val="00465F17"/>
    <w:rsid w:val="00466013"/>
    <w:rsid w:val="004669C4"/>
    <w:rsid w:val="00466D21"/>
    <w:rsid w:val="0046710E"/>
    <w:rsid w:val="00467315"/>
    <w:rsid w:val="00467367"/>
    <w:rsid w:val="004678A1"/>
    <w:rsid w:val="00467AD6"/>
    <w:rsid w:val="00470381"/>
    <w:rsid w:val="00470521"/>
    <w:rsid w:val="00470769"/>
    <w:rsid w:val="00470D9E"/>
    <w:rsid w:val="00470F34"/>
    <w:rsid w:val="00471ED0"/>
    <w:rsid w:val="00472209"/>
    <w:rsid w:val="00472725"/>
    <w:rsid w:val="00472943"/>
    <w:rsid w:val="00473230"/>
    <w:rsid w:val="004734EB"/>
    <w:rsid w:val="00473850"/>
    <w:rsid w:val="00473A26"/>
    <w:rsid w:val="00474091"/>
    <w:rsid w:val="00474976"/>
    <w:rsid w:val="004749C9"/>
    <w:rsid w:val="0047539F"/>
    <w:rsid w:val="0047597C"/>
    <w:rsid w:val="0047679D"/>
    <w:rsid w:val="00476BF7"/>
    <w:rsid w:val="00476E2D"/>
    <w:rsid w:val="00476F5B"/>
    <w:rsid w:val="0047712F"/>
    <w:rsid w:val="004772B9"/>
    <w:rsid w:val="00477438"/>
    <w:rsid w:val="00477568"/>
    <w:rsid w:val="00477830"/>
    <w:rsid w:val="00477902"/>
    <w:rsid w:val="00477AAC"/>
    <w:rsid w:val="004801D3"/>
    <w:rsid w:val="0048049A"/>
    <w:rsid w:val="00480B70"/>
    <w:rsid w:val="00480BD0"/>
    <w:rsid w:val="00480C79"/>
    <w:rsid w:val="00481154"/>
    <w:rsid w:val="00481A05"/>
    <w:rsid w:val="00481A6D"/>
    <w:rsid w:val="00482DE2"/>
    <w:rsid w:val="004830F0"/>
    <w:rsid w:val="0048311A"/>
    <w:rsid w:val="00484078"/>
    <w:rsid w:val="004848B2"/>
    <w:rsid w:val="00485292"/>
    <w:rsid w:val="00485FC9"/>
    <w:rsid w:val="004860C3"/>
    <w:rsid w:val="004865C3"/>
    <w:rsid w:val="0048665E"/>
    <w:rsid w:val="00486BBD"/>
    <w:rsid w:val="004873E7"/>
    <w:rsid w:val="00487518"/>
    <w:rsid w:val="004875EE"/>
    <w:rsid w:val="0049028B"/>
    <w:rsid w:val="004902DA"/>
    <w:rsid w:val="00490FF8"/>
    <w:rsid w:val="00491766"/>
    <w:rsid w:val="00491FCD"/>
    <w:rsid w:val="0049223A"/>
    <w:rsid w:val="00492613"/>
    <w:rsid w:val="00492636"/>
    <w:rsid w:val="00492781"/>
    <w:rsid w:val="004928E9"/>
    <w:rsid w:val="00492CC8"/>
    <w:rsid w:val="00493C56"/>
    <w:rsid w:val="0049400D"/>
    <w:rsid w:val="004942DD"/>
    <w:rsid w:val="004944A0"/>
    <w:rsid w:val="00494563"/>
    <w:rsid w:val="0049461E"/>
    <w:rsid w:val="00494EFE"/>
    <w:rsid w:val="004954C2"/>
    <w:rsid w:val="004955D0"/>
    <w:rsid w:val="00495E6F"/>
    <w:rsid w:val="00496053"/>
    <w:rsid w:val="00496148"/>
    <w:rsid w:val="00496742"/>
    <w:rsid w:val="0049696A"/>
    <w:rsid w:val="00496DC1"/>
    <w:rsid w:val="00496F4F"/>
    <w:rsid w:val="004970F8"/>
    <w:rsid w:val="00497769"/>
    <w:rsid w:val="0049776D"/>
    <w:rsid w:val="00497AF6"/>
    <w:rsid w:val="00497E02"/>
    <w:rsid w:val="004A08D4"/>
    <w:rsid w:val="004A08E4"/>
    <w:rsid w:val="004A09C4"/>
    <w:rsid w:val="004A0C31"/>
    <w:rsid w:val="004A0C9D"/>
    <w:rsid w:val="004A0F30"/>
    <w:rsid w:val="004A17DC"/>
    <w:rsid w:val="004A1B80"/>
    <w:rsid w:val="004A21DF"/>
    <w:rsid w:val="004A2476"/>
    <w:rsid w:val="004A261B"/>
    <w:rsid w:val="004A2C97"/>
    <w:rsid w:val="004A2E93"/>
    <w:rsid w:val="004A2EBB"/>
    <w:rsid w:val="004A3029"/>
    <w:rsid w:val="004A320E"/>
    <w:rsid w:val="004A376A"/>
    <w:rsid w:val="004A39D4"/>
    <w:rsid w:val="004A3C66"/>
    <w:rsid w:val="004A3EE6"/>
    <w:rsid w:val="004A4B88"/>
    <w:rsid w:val="004A4F05"/>
    <w:rsid w:val="004A5277"/>
    <w:rsid w:val="004A5482"/>
    <w:rsid w:val="004A5EE7"/>
    <w:rsid w:val="004A62B5"/>
    <w:rsid w:val="004A66C7"/>
    <w:rsid w:val="004A68E3"/>
    <w:rsid w:val="004A7083"/>
    <w:rsid w:val="004A7311"/>
    <w:rsid w:val="004A7975"/>
    <w:rsid w:val="004A7FD9"/>
    <w:rsid w:val="004B0068"/>
    <w:rsid w:val="004B030F"/>
    <w:rsid w:val="004B0B18"/>
    <w:rsid w:val="004B0E3D"/>
    <w:rsid w:val="004B0FEC"/>
    <w:rsid w:val="004B1C4F"/>
    <w:rsid w:val="004B220E"/>
    <w:rsid w:val="004B26D2"/>
    <w:rsid w:val="004B2B03"/>
    <w:rsid w:val="004B2DD2"/>
    <w:rsid w:val="004B3C0C"/>
    <w:rsid w:val="004B3C2F"/>
    <w:rsid w:val="004B3D51"/>
    <w:rsid w:val="004B42D5"/>
    <w:rsid w:val="004B46DD"/>
    <w:rsid w:val="004B4A4D"/>
    <w:rsid w:val="004B5458"/>
    <w:rsid w:val="004B5726"/>
    <w:rsid w:val="004B5D8C"/>
    <w:rsid w:val="004B66BD"/>
    <w:rsid w:val="004B6C5D"/>
    <w:rsid w:val="004B726E"/>
    <w:rsid w:val="004B74D3"/>
    <w:rsid w:val="004B75C1"/>
    <w:rsid w:val="004B76BE"/>
    <w:rsid w:val="004C05E6"/>
    <w:rsid w:val="004C063B"/>
    <w:rsid w:val="004C0890"/>
    <w:rsid w:val="004C0B3B"/>
    <w:rsid w:val="004C0C91"/>
    <w:rsid w:val="004C11F5"/>
    <w:rsid w:val="004C157C"/>
    <w:rsid w:val="004C1583"/>
    <w:rsid w:val="004C1A3B"/>
    <w:rsid w:val="004C2911"/>
    <w:rsid w:val="004C2D3D"/>
    <w:rsid w:val="004C2D89"/>
    <w:rsid w:val="004C3E9A"/>
    <w:rsid w:val="004C4507"/>
    <w:rsid w:val="004C468C"/>
    <w:rsid w:val="004C557E"/>
    <w:rsid w:val="004C56EC"/>
    <w:rsid w:val="004C5C23"/>
    <w:rsid w:val="004C64CC"/>
    <w:rsid w:val="004C67C0"/>
    <w:rsid w:val="004C7D9C"/>
    <w:rsid w:val="004D0345"/>
    <w:rsid w:val="004D036B"/>
    <w:rsid w:val="004D05F4"/>
    <w:rsid w:val="004D0BFE"/>
    <w:rsid w:val="004D0F3B"/>
    <w:rsid w:val="004D103B"/>
    <w:rsid w:val="004D1CDD"/>
    <w:rsid w:val="004D1E08"/>
    <w:rsid w:val="004D279F"/>
    <w:rsid w:val="004D28B7"/>
    <w:rsid w:val="004D292A"/>
    <w:rsid w:val="004D2ED1"/>
    <w:rsid w:val="004D2F52"/>
    <w:rsid w:val="004D35C3"/>
    <w:rsid w:val="004D3770"/>
    <w:rsid w:val="004D38DA"/>
    <w:rsid w:val="004D4114"/>
    <w:rsid w:val="004D4AAB"/>
    <w:rsid w:val="004D5534"/>
    <w:rsid w:val="004D55BE"/>
    <w:rsid w:val="004D580D"/>
    <w:rsid w:val="004D5810"/>
    <w:rsid w:val="004D5AD1"/>
    <w:rsid w:val="004D642F"/>
    <w:rsid w:val="004D6909"/>
    <w:rsid w:val="004D7165"/>
    <w:rsid w:val="004D71E1"/>
    <w:rsid w:val="004D7B09"/>
    <w:rsid w:val="004E0103"/>
    <w:rsid w:val="004E02A3"/>
    <w:rsid w:val="004E04D0"/>
    <w:rsid w:val="004E147F"/>
    <w:rsid w:val="004E14B0"/>
    <w:rsid w:val="004E152C"/>
    <w:rsid w:val="004E184F"/>
    <w:rsid w:val="004E2E8D"/>
    <w:rsid w:val="004E3012"/>
    <w:rsid w:val="004E3193"/>
    <w:rsid w:val="004E331E"/>
    <w:rsid w:val="004E39E3"/>
    <w:rsid w:val="004E3D33"/>
    <w:rsid w:val="004E3EB2"/>
    <w:rsid w:val="004E44FF"/>
    <w:rsid w:val="004E46D1"/>
    <w:rsid w:val="004E485C"/>
    <w:rsid w:val="004E4A96"/>
    <w:rsid w:val="004E4AB8"/>
    <w:rsid w:val="004E4BCF"/>
    <w:rsid w:val="004E5562"/>
    <w:rsid w:val="004E5810"/>
    <w:rsid w:val="004E5F0E"/>
    <w:rsid w:val="004E6322"/>
    <w:rsid w:val="004E690F"/>
    <w:rsid w:val="004E6DAB"/>
    <w:rsid w:val="004E79B0"/>
    <w:rsid w:val="004E7CEC"/>
    <w:rsid w:val="004E7D13"/>
    <w:rsid w:val="004F06DF"/>
    <w:rsid w:val="004F26CB"/>
    <w:rsid w:val="004F2700"/>
    <w:rsid w:val="004F2C24"/>
    <w:rsid w:val="004F2E73"/>
    <w:rsid w:val="004F33E5"/>
    <w:rsid w:val="004F3437"/>
    <w:rsid w:val="004F3DC3"/>
    <w:rsid w:val="004F4178"/>
    <w:rsid w:val="004F4686"/>
    <w:rsid w:val="004F48DF"/>
    <w:rsid w:val="004F4CAB"/>
    <w:rsid w:val="004F5785"/>
    <w:rsid w:val="004F5E9B"/>
    <w:rsid w:val="004F5F87"/>
    <w:rsid w:val="004F6378"/>
    <w:rsid w:val="004F63C5"/>
    <w:rsid w:val="004F6789"/>
    <w:rsid w:val="004F6B92"/>
    <w:rsid w:val="004F6C2C"/>
    <w:rsid w:val="004F6C76"/>
    <w:rsid w:val="004F71DC"/>
    <w:rsid w:val="004F7748"/>
    <w:rsid w:val="004F77F2"/>
    <w:rsid w:val="004F7AB2"/>
    <w:rsid w:val="00500040"/>
    <w:rsid w:val="005004AD"/>
    <w:rsid w:val="0050068A"/>
    <w:rsid w:val="0050081A"/>
    <w:rsid w:val="005008B7"/>
    <w:rsid w:val="00500C05"/>
    <w:rsid w:val="00500C75"/>
    <w:rsid w:val="00500CD9"/>
    <w:rsid w:val="00501D9D"/>
    <w:rsid w:val="00501DEF"/>
    <w:rsid w:val="00502AC2"/>
    <w:rsid w:val="00502FC5"/>
    <w:rsid w:val="00503009"/>
    <w:rsid w:val="00503468"/>
    <w:rsid w:val="00504838"/>
    <w:rsid w:val="00504968"/>
    <w:rsid w:val="00504EAA"/>
    <w:rsid w:val="005055C8"/>
    <w:rsid w:val="00505634"/>
    <w:rsid w:val="00505B0E"/>
    <w:rsid w:val="00505F36"/>
    <w:rsid w:val="00506763"/>
    <w:rsid w:val="0050678A"/>
    <w:rsid w:val="00506ABA"/>
    <w:rsid w:val="005072D5"/>
    <w:rsid w:val="00507558"/>
    <w:rsid w:val="00510487"/>
    <w:rsid w:val="00510BA9"/>
    <w:rsid w:val="00512107"/>
    <w:rsid w:val="00512150"/>
    <w:rsid w:val="00512198"/>
    <w:rsid w:val="005121F0"/>
    <w:rsid w:val="00512243"/>
    <w:rsid w:val="00512FB1"/>
    <w:rsid w:val="0051317D"/>
    <w:rsid w:val="00513A3B"/>
    <w:rsid w:val="00513ECE"/>
    <w:rsid w:val="00513F60"/>
    <w:rsid w:val="00513FE5"/>
    <w:rsid w:val="005146D4"/>
    <w:rsid w:val="00514D9B"/>
    <w:rsid w:val="00514DAB"/>
    <w:rsid w:val="005152F6"/>
    <w:rsid w:val="005153A1"/>
    <w:rsid w:val="005154D2"/>
    <w:rsid w:val="005159FB"/>
    <w:rsid w:val="0051620D"/>
    <w:rsid w:val="00516C73"/>
    <w:rsid w:val="00517015"/>
    <w:rsid w:val="00517727"/>
    <w:rsid w:val="005200ED"/>
    <w:rsid w:val="00520439"/>
    <w:rsid w:val="00520AF7"/>
    <w:rsid w:val="00521418"/>
    <w:rsid w:val="005218A6"/>
    <w:rsid w:val="00522289"/>
    <w:rsid w:val="00522421"/>
    <w:rsid w:val="005225FE"/>
    <w:rsid w:val="005229D3"/>
    <w:rsid w:val="005232C0"/>
    <w:rsid w:val="005233C0"/>
    <w:rsid w:val="005234E1"/>
    <w:rsid w:val="005238CB"/>
    <w:rsid w:val="0052396C"/>
    <w:rsid w:val="00523E2E"/>
    <w:rsid w:val="0052404A"/>
    <w:rsid w:val="0052460A"/>
    <w:rsid w:val="005256E2"/>
    <w:rsid w:val="00525788"/>
    <w:rsid w:val="00525B3C"/>
    <w:rsid w:val="00526178"/>
    <w:rsid w:val="00526390"/>
    <w:rsid w:val="005263BF"/>
    <w:rsid w:val="00526738"/>
    <w:rsid w:val="00526741"/>
    <w:rsid w:val="0052686E"/>
    <w:rsid w:val="00526B94"/>
    <w:rsid w:val="00526ED8"/>
    <w:rsid w:val="00526FA1"/>
    <w:rsid w:val="0052720B"/>
    <w:rsid w:val="00527455"/>
    <w:rsid w:val="00527ADF"/>
    <w:rsid w:val="00527ECC"/>
    <w:rsid w:val="00527F31"/>
    <w:rsid w:val="0053045F"/>
    <w:rsid w:val="0053107D"/>
    <w:rsid w:val="00531406"/>
    <w:rsid w:val="00531DEF"/>
    <w:rsid w:val="005322B1"/>
    <w:rsid w:val="00532872"/>
    <w:rsid w:val="00532D6B"/>
    <w:rsid w:val="00533BDA"/>
    <w:rsid w:val="005341A8"/>
    <w:rsid w:val="00535DAF"/>
    <w:rsid w:val="00535DE6"/>
    <w:rsid w:val="00536F8B"/>
    <w:rsid w:val="005372FA"/>
    <w:rsid w:val="00537512"/>
    <w:rsid w:val="00537C1F"/>
    <w:rsid w:val="00537F56"/>
    <w:rsid w:val="00540006"/>
    <w:rsid w:val="0054004A"/>
    <w:rsid w:val="005404F2"/>
    <w:rsid w:val="00540520"/>
    <w:rsid w:val="00540C97"/>
    <w:rsid w:val="00540D9D"/>
    <w:rsid w:val="00541068"/>
    <w:rsid w:val="00541C28"/>
    <w:rsid w:val="00542027"/>
    <w:rsid w:val="00542466"/>
    <w:rsid w:val="00542B51"/>
    <w:rsid w:val="0054309F"/>
    <w:rsid w:val="00544356"/>
    <w:rsid w:val="00544621"/>
    <w:rsid w:val="00544676"/>
    <w:rsid w:val="00544C4D"/>
    <w:rsid w:val="00544FE3"/>
    <w:rsid w:val="0054507A"/>
    <w:rsid w:val="005454F1"/>
    <w:rsid w:val="00546382"/>
    <w:rsid w:val="005467E7"/>
    <w:rsid w:val="00546B2F"/>
    <w:rsid w:val="00546BB8"/>
    <w:rsid w:val="005472A3"/>
    <w:rsid w:val="005474D8"/>
    <w:rsid w:val="00547706"/>
    <w:rsid w:val="00547C45"/>
    <w:rsid w:val="00547EB9"/>
    <w:rsid w:val="00550734"/>
    <w:rsid w:val="00550EC1"/>
    <w:rsid w:val="00551887"/>
    <w:rsid w:val="00552417"/>
    <w:rsid w:val="005524BD"/>
    <w:rsid w:val="005524D9"/>
    <w:rsid w:val="00552FF0"/>
    <w:rsid w:val="005539B7"/>
    <w:rsid w:val="00553B2E"/>
    <w:rsid w:val="005540F8"/>
    <w:rsid w:val="0055453C"/>
    <w:rsid w:val="005546DD"/>
    <w:rsid w:val="00554969"/>
    <w:rsid w:val="00554F14"/>
    <w:rsid w:val="00554FE2"/>
    <w:rsid w:val="00555529"/>
    <w:rsid w:val="00555538"/>
    <w:rsid w:val="005555DD"/>
    <w:rsid w:val="00555D09"/>
    <w:rsid w:val="005563D6"/>
    <w:rsid w:val="0055757A"/>
    <w:rsid w:val="00557BF5"/>
    <w:rsid w:val="005603EE"/>
    <w:rsid w:val="00560A8F"/>
    <w:rsid w:val="005612BD"/>
    <w:rsid w:val="005612D4"/>
    <w:rsid w:val="005615F2"/>
    <w:rsid w:val="00561BA0"/>
    <w:rsid w:val="00561DF6"/>
    <w:rsid w:val="00561E1F"/>
    <w:rsid w:val="00562380"/>
    <w:rsid w:val="00562BD0"/>
    <w:rsid w:val="00562E27"/>
    <w:rsid w:val="005630D4"/>
    <w:rsid w:val="005634D6"/>
    <w:rsid w:val="00563531"/>
    <w:rsid w:val="0056360D"/>
    <w:rsid w:val="00563C61"/>
    <w:rsid w:val="00564653"/>
    <w:rsid w:val="00564F0B"/>
    <w:rsid w:val="00565DA0"/>
    <w:rsid w:val="00565EE4"/>
    <w:rsid w:val="00566093"/>
    <w:rsid w:val="00566107"/>
    <w:rsid w:val="00566257"/>
    <w:rsid w:val="005664AE"/>
    <w:rsid w:val="0056665F"/>
    <w:rsid w:val="00566D64"/>
    <w:rsid w:val="00567D90"/>
    <w:rsid w:val="005701C6"/>
    <w:rsid w:val="005707B8"/>
    <w:rsid w:val="00570B10"/>
    <w:rsid w:val="00570F1C"/>
    <w:rsid w:val="005716BB"/>
    <w:rsid w:val="005716FA"/>
    <w:rsid w:val="00571D21"/>
    <w:rsid w:val="00571EAC"/>
    <w:rsid w:val="0057228E"/>
    <w:rsid w:val="005725C3"/>
    <w:rsid w:val="00572627"/>
    <w:rsid w:val="00572BA2"/>
    <w:rsid w:val="00572DC5"/>
    <w:rsid w:val="00572EC1"/>
    <w:rsid w:val="00573AD5"/>
    <w:rsid w:val="00573E5C"/>
    <w:rsid w:val="005742BE"/>
    <w:rsid w:val="00574D3C"/>
    <w:rsid w:val="00574E41"/>
    <w:rsid w:val="00574F9A"/>
    <w:rsid w:val="00575158"/>
    <w:rsid w:val="00575D1F"/>
    <w:rsid w:val="00575DFC"/>
    <w:rsid w:val="00576E24"/>
    <w:rsid w:val="00576F10"/>
    <w:rsid w:val="00576FE6"/>
    <w:rsid w:val="0057728C"/>
    <w:rsid w:val="0057730A"/>
    <w:rsid w:val="00577359"/>
    <w:rsid w:val="00577940"/>
    <w:rsid w:val="00577D45"/>
    <w:rsid w:val="005806CC"/>
    <w:rsid w:val="005807B1"/>
    <w:rsid w:val="00581135"/>
    <w:rsid w:val="00581639"/>
    <w:rsid w:val="005816A6"/>
    <w:rsid w:val="005820BF"/>
    <w:rsid w:val="00582BB5"/>
    <w:rsid w:val="00582CE9"/>
    <w:rsid w:val="00582D96"/>
    <w:rsid w:val="00583D50"/>
    <w:rsid w:val="00583D8B"/>
    <w:rsid w:val="005841E3"/>
    <w:rsid w:val="00584596"/>
    <w:rsid w:val="0058469C"/>
    <w:rsid w:val="00585157"/>
    <w:rsid w:val="00585452"/>
    <w:rsid w:val="005861B5"/>
    <w:rsid w:val="00586380"/>
    <w:rsid w:val="005866C7"/>
    <w:rsid w:val="0058687C"/>
    <w:rsid w:val="00587393"/>
    <w:rsid w:val="005876D0"/>
    <w:rsid w:val="0058787F"/>
    <w:rsid w:val="00587BC3"/>
    <w:rsid w:val="005913BA"/>
    <w:rsid w:val="005914E3"/>
    <w:rsid w:val="005916AA"/>
    <w:rsid w:val="005916B8"/>
    <w:rsid w:val="00591BD6"/>
    <w:rsid w:val="00591F2E"/>
    <w:rsid w:val="00591F69"/>
    <w:rsid w:val="005925C1"/>
    <w:rsid w:val="005926D5"/>
    <w:rsid w:val="00592BD4"/>
    <w:rsid w:val="00592C77"/>
    <w:rsid w:val="00592CAD"/>
    <w:rsid w:val="00592FEE"/>
    <w:rsid w:val="0059314F"/>
    <w:rsid w:val="00593AAC"/>
    <w:rsid w:val="00593DAB"/>
    <w:rsid w:val="00594533"/>
    <w:rsid w:val="005948F5"/>
    <w:rsid w:val="00594F79"/>
    <w:rsid w:val="00595A18"/>
    <w:rsid w:val="00595D7A"/>
    <w:rsid w:val="00596A11"/>
    <w:rsid w:val="00596E17"/>
    <w:rsid w:val="005973BD"/>
    <w:rsid w:val="005974C8"/>
    <w:rsid w:val="005A059A"/>
    <w:rsid w:val="005A07FD"/>
    <w:rsid w:val="005A0882"/>
    <w:rsid w:val="005A0C1F"/>
    <w:rsid w:val="005A1385"/>
    <w:rsid w:val="005A14AD"/>
    <w:rsid w:val="005A1658"/>
    <w:rsid w:val="005A16DF"/>
    <w:rsid w:val="005A1C1E"/>
    <w:rsid w:val="005A1E75"/>
    <w:rsid w:val="005A26F1"/>
    <w:rsid w:val="005A2B84"/>
    <w:rsid w:val="005A2E44"/>
    <w:rsid w:val="005A2EAD"/>
    <w:rsid w:val="005A41D7"/>
    <w:rsid w:val="005A44B1"/>
    <w:rsid w:val="005A469F"/>
    <w:rsid w:val="005A49CB"/>
    <w:rsid w:val="005A4E48"/>
    <w:rsid w:val="005A644D"/>
    <w:rsid w:val="005A691E"/>
    <w:rsid w:val="005A694A"/>
    <w:rsid w:val="005B021E"/>
    <w:rsid w:val="005B0322"/>
    <w:rsid w:val="005B04AA"/>
    <w:rsid w:val="005B0AB2"/>
    <w:rsid w:val="005B1259"/>
    <w:rsid w:val="005B15B3"/>
    <w:rsid w:val="005B198C"/>
    <w:rsid w:val="005B1B90"/>
    <w:rsid w:val="005B1BC7"/>
    <w:rsid w:val="005B1C44"/>
    <w:rsid w:val="005B2066"/>
    <w:rsid w:val="005B217B"/>
    <w:rsid w:val="005B22C9"/>
    <w:rsid w:val="005B235E"/>
    <w:rsid w:val="005B2D1E"/>
    <w:rsid w:val="005B3841"/>
    <w:rsid w:val="005B396A"/>
    <w:rsid w:val="005B39B7"/>
    <w:rsid w:val="005B3CE5"/>
    <w:rsid w:val="005B436D"/>
    <w:rsid w:val="005B44AF"/>
    <w:rsid w:val="005B461B"/>
    <w:rsid w:val="005B4768"/>
    <w:rsid w:val="005B4B67"/>
    <w:rsid w:val="005B4D5A"/>
    <w:rsid w:val="005B50B0"/>
    <w:rsid w:val="005B51C2"/>
    <w:rsid w:val="005B5412"/>
    <w:rsid w:val="005B5526"/>
    <w:rsid w:val="005B58CB"/>
    <w:rsid w:val="005B5CA1"/>
    <w:rsid w:val="005B5CAB"/>
    <w:rsid w:val="005B605D"/>
    <w:rsid w:val="005B63AE"/>
    <w:rsid w:val="005B6740"/>
    <w:rsid w:val="005B6DEC"/>
    <w:rsid w:val="005B7D82"/>
    <w:rsid w:val="005C0546"/>
    <w:rsid w:val="005C107A"/>
    <w:rsid w:val="005C20ED"/>
    <w:rsid w:val="005C21F8"/>
    <w:rsid w:val="005C2254"/>
    <w:rsid w:val="005C252C"/>
    <w:rsid w:val="005C27B4"/>
    <w:rsid w:val="005C2CE2"/>
    <w:rsid w:val="005C2D23"/>
    <w:rsid w:val="005C2EA7"/>
    <w:rsid w:val="005C39BD"/>
    <w:rsid w:val="005C3C61"/>
    <w:rsid w:val="005C4224"/>
    <w:rsid w:val="005C4A6D"/>
    <w:rsid w:val="005C50D3"/>
    <w:rsid w:val="005C5381"/>
    <w:rsid w:val="005C5867"/>
    <w:rsid w:val="005C59AB"/>
    <w:rsid w:val="005C5A7D"/>
    <w:rsid w:val="005C6702"/>
    <w:rsid w:val="005C6BCD"/>
    <w:rsid w:val="005C75E1"/>
    <w:rsid w:val="005C7D0A"/>
    <w:rsid w:val="005D06F1"/>
    <w:rsid w:val="005D0731"/>
    <w:rsid w:val="005D08CE"/>
    <w:rsid w:val="005D08DA"/>
    <w:rsid w:val="005D0948"/>
    <w:rsid w:val="005D0D0C"/>
    <w:rsid w:val="005D0D7D"/>
    <w:rsid w:val="005D0FB2"/>
    <w:rsid w:val="005D1A2F"/>
    <w:rsid w:val="005D1BC8"/>
    <w:rsid w:val="005D246D"/>
    <w:rsid w:val="005D287D"/>
    <w:rsid w:val="005D2B11"/>
    <w:rsid w:val="005D3147"/>
    <w:rsid w:val="005D368F"/>
    <w:rsid w:val="005D3ECF"/>
    <w:rsid w:val="005D43D0"/>
    <w:rsid w:val="005D5043"/>
    <w:rsid w:val="005D5E04"/>
    <w:rsid w:val="005D5EAD"/>
    <w:rsid w:val="005D5EDB"/>
    <w:rsid w:val="005D655C"/>
    <w:rsid w:val="005D658C"/>
    <w:rsid w:val="005D6730"/>
    <w:rsid w:val="005D6AFB"/>
    <w:rsid w:val="005D6FD1"/>
    <w:rsid w:val="005D7058"/>
    <w:rsid w:val="005D72CA"/>
    <w:rsid w:val="005D7A57"/>
    <w:rsid w:val="005D7F63"/>
    <w:rsid w:val="005E0229"/>
    <w:rsid w:val="005E03F2"/>
    <w:rsid w:val="005E05AB"/>
    <w:rsid w:val="005E07AB"/>
    <w:rsid w:val="005E16E1"/>
    <w:rsid w:val="005E189E"/>
    <w:rsid w:val="005E194C"/>
    <w:rsid w:val="005E1962"/>
    <w:rsid w:val="005E2893"/>
    <w:rsid w:val="005E2B00"/>
    <w:rsid w:val="005E2E69"/>
    <w:rsid w:val="005E2F81"/>
    <w:rsid w:val="005E33E1"/>
    <w:rsid w:val="005E3504"/>
    <w:rsid w:val="005E39A1"/>
    <w:rsid w:val="005E3C90"/>
    <w:rsid w:val="005E458E"/>
    <w:rsid w:val="005E464C"/>
    <w:rsid w:val="005E4BC0"/>
    <w:rsid w:val="005E4E3A"/>
    <w:rsid w:val="005E5520"/>
    <w:rsid w:val="005E56FA"/>
    <w:rsid w:val="005E605A"/>
    <w:rsid w:val="005E642A"/>
    <w:rsid w:val="005E693D"/>
    <w:rsid w:val="005E6CF8"/>
    <w:rsid w:val="005E6D33"/>
    <w:rsid w:val="005E6FC6"/>
    <w:rsid w:val="005E7939"/>
    <w:rsid w:val="005E7B03"/>
    <w:rsid w:val="005F020A"/>
    <w:rsid w:val="005F032E"/>
    <w:rsid w:val="005F10E5"/>
    <w:rsid w:val="005F1EB6"/>
    <w:rsid w:val="005F29E7"/>
    <w:rsid w:val="005F2CA9"/>
    <w:rsid w:val="005F324B"/>
    <w:rsid w:val="005F3463"/>
    <w:rsid w:val="005F349A"/>
    <w:rsid w:val="005F39A9"/>
    <w:rsid w:val="005F39E9"/>
    <w:rsid w:val="005F3C34"/>
    <w:rsid w:val="005F3ECD"/>
    <w:rsid w:val="005F45BB"/>
    <w:rsid w:val="005F4B1A"/>
    <w:rsid w:val="005F506F"/>
    <w:rsid w:val="005F510C"/>
    <w:rsid w:val="005F5AD0"/>
    <w:rsid w:val="005F5DF5"/>
    <w:rsid w:val="005F5E20"/>
    <w:rsid w:val="005F632D"/>
    <w:rsid w:val="005F64D0"/>
    <w:rsid w:val="005F6808"/>
    <w:rsid w:val="005F6991"/>
    <w:rsid w:val="005F6DE8"/>
    <w:rsid w:val="005F7D89"/>
    <w:rsid w:val="005F7F5F"/>
    <w:rsid w:val="006004C3"/>
    <w:rsid w:val="00600558"/>
    <w:rsid w:val="006006E7"/>
    <w:rsid w:val="00600A8E"/>
    <w:rsid w:val="006012A9"/>
    <w:rsid w:val="00601852"/>
    <w:rsid w:val="00601D68"/>
    <w:rsid w:val="00602107"/>
    <w:rsid w:val="0060223A"/>
    <w:rsid w:val="00602891"/>
    <w:rsid w:val="0060292D"/>
    <w:rsid w:val="00602AA6"/>
    <w:rsid w:val="00602BAF"/>
    <w:rsid w:val="00602FA5"/>
    <w:rsid w:val="0060306C"/>
    <w:rsid w:val="00603470"/>
    <w:rsid w:val="00603484"/>
    <w:rsid w:val="00603D44"/>
    <w:rsid w:val="00604091"/>
    <w:rsid w:val="00604323"/>
    <w:rsid w:val="00604659"/>
    <w:rsid w:val="00604B68"/>
    <w:rsid w:val="006052D9"/>
    <w:rsid w:val="00605447"/>
    <w:rsid w:val="0060594D"/>
    <w:rsid w:val="00606AEC"/>
    <w:rsid w:val="00606B9F"/>
    <w:rsid w:val="00606C3F"/>
    <w:rsid w:val="0060729B"/>
    <w:rsid w:val="00607513"/>
    <w:rsid w:val="0060771A"/>
    <w:rsid w:val="00607B1A"/>
    <w:rsid w:val="00607F35"/>
    <w:rsid w:val="006103CA"/>
    <w:rsid w:val="006104B7"/>
    <w:rsid w:val="006106AA"/>
    <w:rsid w:val="0061095A"/>
    <w:rsid w:val="00610BC1"/>
    <w:rsid w:val="00610EF0"/>
    <w:rsid w:val="00610F0A"/>
    <w:rsid w:val="0061147B"/>
    <w:rsid w:val="0061155F"/>
    <w:rsid w:val="006118F1"/>
    <w:rsid w:val="00611FD3"/>
    <w:rsid w:val="006127DE"/>
    <w:rsid w:val="0061384E"/>
    <w:rsid w:val="006138AC"/>
    <w:rsid w:val="00613A02"/>
    <w:rsid w:val="006161E1"/>
    <w:rsid w:val="00616388"/>
    <w:rsid w:val="00616E70"/>
    <w:rsid w:val="00617191"/>
    <w:rsid w:val="00617A0C"/>
    <w:rsid w:val="00617B75"/>
    <w:rsid w:val="00620794"/>
    <w:rsid w:val="00620825"/>
    <w:rsid w:val="006211B1"/>
    <w:rsid w:val="0062165C"/>
    <w:rsid w:val="0062227D"/>
    <w:rsid w:val="00622419"/>
    <w:rsid w:val="006229C0"/>
    <w:rsid w:val="006229E2"/>
    <w:rsid w:val="00622C98"/>
    <w:rsid w:val="00622DB5"/>
    <w:rsid w:val="00622E36"/>
    <w:rsid w:val="006231D0"/>
    <w:rsid w:val="006235E0"/>
    <w:rsid w:val="00623852"/>
    <w:rsid w:val="00623E28"/>
    <w:rsid w:val="00623E7D"/>
    <w:rsid w:val="00624675"/>
    <w:rsid w:val="00625B31"/>
    <w:rsid w:val="00625FB5"/>
    <w:rsid w:val="006263B4"/>
    <w:rsid w:val="00626437"/>
    <w:rsid w:val="0062643C"/>
    <w:rsid w:val="006266B3"/>
    <w:rsid w:val="00627E76"/>
    <w:rsid w:val="00627E9E"/>
    <w:rsid w:val="00630370"/>
    <w:rsid w:val="00630B43"/>
    <w:rsid w:val="00630B4D"/>
    <w:rsid w:val="00631207"/>
    <w:rsid w:val="00631413"/>
    <w:rsid w:val="006317E2"/>
    <w:rsid w:val="00631C6C"/>
    <w:rsid w:val="0063239C"/>
    <w:rsid w:val="00632719"/>
    <w:rsid w:val="00633101"/>
    <w:rsid w:val="006332DE"/>
    <w:rsid w:val="006334A6"/>
    <w:rsid w:val="00633524"/>
    <w:rsid w:val="00633722"/>
    <w:rsid w:val="00633756"/>
    <w:rsid w:val="006338C5"/>
    <w:rsid w:val="006352C6"/>
    <w:rsid w:val="00635539"/>
    <w:rsid w:val="00635880"/>
    <w:rsid w:val="00635B9B"/>
    <w:rsid w:val="00635BC3"/>
    <w:rsid w:val="00635EA5"/>
    <w:rsid w:val="00636311"/>
    <w:rsid w:val="006368E4"/>
    <w:rsid w:val="00636E74"/>
    <w:rsid w:val="00637C7D"/>
    <w:rsid w:val="00640111"/>
    <w:rsid w:val="00640C2B"/>
    <w:rsid w:val="00640C4B"/>
    <w:rsid w:val="00640CBE"/>
    <w:rsid w:val="0064128B"/>
    <w:rsid w:val="00641706"/>
    <w:rsid w:val="00641BF0"/>
    <w:rsid w:val="00641E30"/>
    <w:rsid w:val="00642400"/>
    <w:rsid w:val="00642AFB"/>
    <w:rsid w:val="00642F85"/>
    <w:rsid w:val="00643249"/>
    <w:rsid w:val="0064347A"/>
    <w:rsid w:val="0064362B"/>
    <w:rsid w:val="00643652"/>
    <w:rsid w:val="00643708"/>
    <w:rsid w:val="00643C0F"/>
    <w:rsid w:val="00643C28"/>
    <w:rsid w:val="00643C31"/>
    <w:rsid w:val="00643C3B"/>
    <w:rsid w:val="006453A2"/>
    <w:rsid w:val="00645860"/>
    <w:rsid w:val="00645943"/>
    <w:rsid w:val="006459C6"/>
    <w:rsid w:val="00645F0D"/>
    <w:rsid w:val="006471A3"/>
    <w:rsid w:val="006472C8"/>
    <w:rsid w:val="006478A7"/>
    <w:rsid w:val="00647B6F"/>
    <w:rsid w:val="0065051E"/>
    <w:rsid w:val="00650B2F"/>
    <w:rsid w:val="00650B6A"/>
    <w:rsid w:val="00650D2D"/>
    <w:rsid w:val="00651A7D"/>
    <w:rsid w:val="00651B23"/>
    <w:rsid w:val="00651BFE"/>
    <w:rsid w:val="00651D0F"/>
    <w:rsid w:val="006521D6"/>
    <w:rsid w:val="00652655"/>
    <w:rsid w:val="00652947"/>
    <w:rsid w:val="00653131"/>
    <w:rsid w:val="006532A4"/>
    <w:rsid w:val="00654507"/>
    <w:rsid w:val="006546C4"/>
    <w:rsid w:val="00654B48"/>
    <w:rsid w:val="00654C9C"/>
    <w:rsid w:val="006552DF"/>
    <w:rsid w:val="0065580B"/>
    <w:rsid w:val="006559E9"/>
    <w:rsid w:val="0065622B"/>
    <w:rsid w:val="00656642"/>
    <w:rsid w:val="00656712"/>
    <w:rsid w:val="006568A4"/>
    <w:rsid w:val="00657ACD"/>
    <w:rsid w:val="006601F6"/>
    <w:rsid w:val="006605C1"/>
    <w:rsid w:val="006608CB"/>
    <w:rsid w:val="00660EAA"/>
    <w:rsid w:val="00661254"/>
    <w:rsid w:val="00661309"/>
    <w:rsid w:val="00661ABC"/>
    <w:rsid w:val="00661E50"/>
    <w:rsid w:val="00661FE6"/>
    <w:rsid w:val="0066240D"/>
    <w:rsid w:val="0066247A"/>
    <w:rsid w:val="006627D9"/>
    <w:rsid w:val="006632AE"/>
    <w:rsid w:val="0066369D"/>
    <w:rsid w:val="006639FC"/>
    <w:rsid w:val="00663F42"/>
    <w:rsid w:val="00664C96"/>
    <w:rsid w:val="00666084"/>
    <w:rsid w:val="00666159"/>
    <w:rsid w:val="00666409"/>
    <w:rsid w:val="006664B1"/>
    <w:rsid w:val="00666519"/>
    <w:rsid w:val="00666E7D"/>
    <w:rsid w:val="006678B3"/>
    <w:rsid w:val="00667A0C"/>
    <w:rsid w:val="00667F56"/>
    <w:rsid w:val="006704D5"/>
    <w:rsid w:val="006704DB"/>
    <w:rsid w:val="00670651"/>
    <w:rsid w:val="00670C71"/>
    <w:rsid w:val="00670D7F"/>
    <w:rsid w:val="00670E25"/>
    <w:rsid w:val="00670FBF"/>
    <w:rsid w:val="006711BD"/>
    <w:rsid w:val="006716AC"/>
    <w:rsid w:val="0067180B"/>
    <w:rsid w:val="00671CEA"/>
    <w:rsid w:val="006721D6"/>
    <w:rsid w:val="0067240A"/>
    <w:rsid w:val="00672547"/>
    <w:rsid w:val="006726E2"/>
    <w:rsid w:val="00672907"/>
    <w:rsid w:val="00672953"/>
    <w:rsid w:val="00672A80"/>
    <w:rsid w:val="00672E10"/>
    <w:rsid w:val="0067398B"/>
    <w:rsid w:val="00674693"/>
    <w:rsid w:val="006747EF"/>
    <w:rsid w:val="00674F79"/>
    <w:rsid w:val="00675000"/>
    <w:rsid w:val="0067512A"/>
    <w:rsid w:val="00675A37"/>
    <w:rsid w:val="00675A50"/>
    <w:rsid w:val="00676B44"/>
    <w:rsid w:val="00676B50"/>
    <w:rsid w:val="00677456"/>
    <w:rsid w:val="00677F5B"/>
    <w:rsid w:val="006802A0"/>
    <w:rsid w:val="006807B0"/>
    <w:rsid w:val="00681047"/>
    <w:rsid w:val="00681217"/>
    <w:rsid w:val="006816E4"/>
    <w:rsid w:val="00681BE2"/>
    <w:rsid w:val="00681F42"/>
    <w:rsid w:val="00682002"/>
    <w:rsid w:val="00682426"/>
    <w:rsid w:val="00682462"/>
    <w:rsid w:val="006827C8"/>
    <w:rsid w:val="00682AE4"/>
    <w:rsid w:val="00682BBE"/>
    <w:rsid w:val="00682DC9"/>
    <w:rsid w:val="00682E15"/>
    <w:rsid w:val="006832DE"/>
    <w:rsid w:val="006839B3"/>
    <w:rsid w:val="00683E00"/>
    <w:rsid w:val="0068427B"/>
    <w:rsid w:val="0068436D"/>
    <w:rsid w:val="00684500"/>
    <w:rsid w:val="006846DC"/>
    <w:rsid w:val="00684802"/>
    <w:rsid w:val="00684C4C"/>
    <w:rsid w:val="00685C3B"/>
    <w:rsid w:val="00685DD0"/>
    <w:rsid w:val="00686009"/>
    <w:rsid w:val="006862E8"/>
    <w:rsid w:val="006865A2"/>
    <w:rsid w:val="0068662F"/>
    <w:rsid w:val="00686ACC"/>
    <w:rsid w:val="00686FFC"/>
    <w:rsid w:val="00687295"/>
    <w:rsid w:val="00687AA2"/>
    <w:rsid w:val="006900F1"/>
    <w:rsid w:val="00690145"/>
    <w:rsid w:val="006908E8"/>
    <w:rsid w:val="006909DF"/>
    <w:rsid w:val="0069101D"/>
    <w:rsid w:val="0069126D"/>
    <w:rsid w:val="006913A0"/>
    <w:rsid w:val="00691447"/>
    <w:rsid w:val="00691D6F"/>
    <w:rsid w:val="0069276A"/>
    <w:rsid w:val="00692C8E"/>
    <w:rsid w:val="00693015"/>
    <w:rsid w:val="0069372E"/>
    <w:rsid w:val="00693AC2"/>
    <w:rsid w:val="00693FFE"/>
    <w:rsid w:val="00694165"/>
    <w:rsid w:val="00694A15"/>
    <w:rsid w:val="00694C27"/>
    <w:rsid w:val="00694D37"/>
    <w:rsid w:val="00694E85"/>
    <w:rsid w:val="0069500B"/>
    <w:rsid w:val="00695425"/>
    <w:rsid w:val="00695C5A"/>
    <w:rsid w:val="00695E1C"/>
    <w:rsid w:val="0069622A"/>
    <w:rsid w:val="0069665C"/>
    <w:rsid w:val="006966AF"/>
    <w:rsid w:val="00696B55"/>
    <w:rsid w:val="00696E09"/>
    <w:rsid w:val="00696EB4"/>
    <w:rsid w:val="00696F4A"/>
    <w:rsid w:val="006970D0"/>
    <w:rsid w:val="006972C7"/>
    <w:rsid w:val="006978EC"/>
    <w:rsid w:val="006A0773"/>
    <w:rsid w:val="006A07CF"/>
    <w:rsid w:val="006A0F48"/>
    <w:rsid w:val="006A1F29"/>
    <w:rsid w:val="006A256C"/>
    <w:rsid w:val="006A279C"/>
    <w:rsid w:val="006A2825"/>
    <w:rsid w:val="006A2ACD"/>
    <w:rsid w:val="006A3148"/>
    <w:rsid w:val="006A40C8"/>
    <w:rsid w:val="006A40F4"/>
    <w:rsid w:val="006A44BB"/>
    <w:rsid w:val="006A4951"/>
    <w:rsid w:val="006A4B0D"/>
    <w:rsid w:val="006A4FD8"/>
    <w:rsid w:val="006A50AE"/>
    <w:rsid w:val="006A539D"/>
    <w:rsid w:val="006A54BE"/>
    <w:rsid w:val="006A5505"/>
    <w:rsid w:val="006A56EF"/>
    <w:rsid w:val="006A6BCF"/>
    <w:rsid w:val="006A75D5"/>
    <w:rsid w:val="006A7C2D"/>
    <w:rsid w:val="006B0096"/>
    <w:rsid w:val="006B00F2"/>
    <w:rsid w:val="006B06ED"/>
    <w:rsid w:val="006B0A90"/>
    <w:rsid w:val="006B0C1E"/>
    <w:rsid w:val="006B127E"/>
    <w:rsid w:val="006B1294"/>
    <w:rsid w:val="006B1296"/>
    <w:rsid w:val="006B195D"/>
    <w:rsid w:val="006B1A9A"/>
    <w:rsid w:val="006B1E1F"/>
    <w:rsid w:val="006B21C5"/>
    <w:rsid w:val="006B2DED"/>
    <w:rsid w:val="006B364F"/>
    <w:rsid w:val="006B385E"/>
    <w:rsid w:val="006B39F2"/>
    <w:rsid w:val="006B4056"/>
    <w:rsid w:val="006B4506"/>
    <w:rsid w:val="006B4D10"/>
    <w:rsid w:val="006B5936"/>
    <w:rsid w:val="006B5C18"/>
    <w:rsid w:val="006B6100"/>
    <w:rsid w:val="006B6464"/>
    <w:rsid w:val="006B65F2"/>
    <w:rsid w:val="006B702F"/>
    <w:rsid w:val="006B742B"/>
    <w:rsid w:val="006B74B6"/>
    <w:rsid w:val="006B76A9"/>
    <w:rsid w:val="006B7E5F"/>
    <w:rsid w:val="006C02CA"/>
    <w:rsid w:val="006C0694"/>
    <w:rsid w:val="006C08B3"/>
    <w:rsid w:val="006C3A15"/>
    <w:rsid w:val="006C3DD0"/>
    <w:rsid w:val="006C41DE"/>
    <w:rsid w:val="006C4634"/>
    <w:rsid w:val="006C47A0"/>
    <w:rsid w:val="006C4C0C"/>
    <w:rsid w:val="006C4F2F"/>
    <w:rsid w:val="006C529C"/>
    <w:rsid w:val="006C53A5"/>
    <w:rsid w:val="006C570D"/>
    <w:rsid w:val="006C5CC3"/>
    <w:rsid w:val="006C5E62"/>
    <w:rsid w:val="006C70A8"/>
    <w:rsid w:val="006C77B1"/>
    <w:rsid w:val="006C7B90"/>
    <w:rsid w:val="006C7C9D"/>
    <w:rsid w:val="006D0240"/>
    <w:rsid w:val="006D03F6"/>
    <w:rsid w:val="006D0909"/>
    <w:rsid w:val="006D0DC4"/>
    <w:rsid w:val="006D10AD"/>
    <w:rsid w:val="006D1105"/>
    <w:rsid w:val="006D1B1E"/>
    <w:rsid w:val="006D1D37"/>
    <w:rsid w:val="006D21D2"/>
    <w:rsid w:val="006D2588"/>
    <w:rsid w:val="006D25E5"/>
    <w:rsid w:val="006D2E0D"/>
    <w:rsid w:val="006D2F55"/>
    <w:rsid w:val="006D38C6"/>
    <w:rsid w:val="006D3BDE"/>
    <w:rsid w:val="006D3C20"/>
    <w:rsid w:val="006D3CBD"/>
    <w:rsid w:val="006D401C"/>
    <w:rsid w:val="006D4291"/>
    <w:rsid w:val="006D4C69"/>
    <w:rsid w:val="006D4FF5"/>
    <w:rsid w:val="006D50B9"/>
    <w:rsid w:val="006D559E"/>
    <w:rsid w:val="006D59A7"/>
    <w:rsid w:val="006D5DAB"/>
    <w:rsid w:val="006D61B4"/>
    <w:rsid w:val="006D6515"/>
    <w:rsid w:val="006D6A6A"/>
    <w:rsid w:val="006D6B85"/>
    <w:rsid w:val="006D6DEE"/>
    <w:rsid w:val="006D6F86"/>
    <w:rsid w:val="006D6F9A"/>
    <w:rsid w:val="006D74E0"/>
    <w:rsid w:val="006D7616"/>
    <w:rsid w:val="006D76DB"/>
    <w:rsid w:val="006D7704"/>
    <w:rsid w:val="006E0324"/>
    <w:rsid w:val="006E081B"/>
    <w:rsid w:val="006E0BDD"/>
    <w:rsid w:val="006E0D65"/>
    <w:rsid w:val="006E0ED7"/>
    <w:rsid w:val="006E110C"/>
    <w:rsid w:val="006E1243"/>
    <w:rsid w:val="006E1662"/>
    <w:rsid w:val="006E1906"/>
    <w:rsid w:val="006E1A11"/>
    <w:rsid w:val="006E1FA5"/>
    <w:rsid w:val="006E2088"/>
    <w:rsid w:val="006E2327"/>
    <w:rsid w:val="006E26BE"/>
    <w:rsid w:val="006E2A8A"/>
    <w:rsid w:val="006E2E58"/>
    <w:rsid w:val="006E2EEC"/>
    <w:rsid w:val="006E2F66"/>
    <w:rsid w:val="006E304D"/>
    <w:rsid w:val="006E325C"/>
    <w:rsid w:val="006E3ACA"/>
    <w:rsid w:val="006E3BDA"/>
    <w:rsid w:val="006E3CA0"/>
    <w:rsid w:val="006E3CE1"/>
    <w:rsid w:val="006E4A00"/>
    <w:rsid w:val="006E4E08"/>
    <w:rsid w:val="006E506C"/>
    <w:rsid w:val="006E5B09"/>
    <w:rsid w:val="006E5BD7"/>
    <w:rsid w:val="006E5D93"/>
    <w:rsid w:val="006E67C2"/>
    <w:rsid w:val="006E759E"/>
    <w:rsid w:val="006E766C"/>
    <w:rsid w:val="006E7A47"/>
    <w:rsid w:val="006E7ABD"/>
    <w:rsid w:val="006F0055"/>
    <w:rsid w:val="006F01F2"/>
    <w:rsid w:val="006F02F8"/>
    <w:rsid w:val="006F034F"/>
    <w:rsid w:val="006F048B"/>
    <w:rsid w:val="006F04F6"/>
    <w:rsid w:val="006F056C"/>
    <w:rsid w:val="006F0E9C"/>
    <w:rsid w:val="006F10C4"/>
    <w:rsid w:val="006F152C"/>
    <w:rsid w:val="006F1F14"/>
    <w:rsid w:val="006F220B"/>
    <w:rsid w:val="006F23F3"/>
    <w:rsid w:val="006F296F"/>
    <w:rsid w:val="006F331C"/>
    <w:rsid w:val="006F34F9"/>
    <w:rsid w:val="006F3CBC"/>
    <w:rsid w:val="006F3E20"/>
    <w:rsid w:val="006F421E"/>
    <w:rsid w:val="006F4B7F"/>
    <w:rsid w:val="006F516D"/>
    <w:rsid w:val="006F5594"/>
    <w:rsid w:val="006F57B7"/>
    <w:rsid w:val="006F5CDC"/>
    <w:rsid w:val="006F5DAF"/>
    <w:rsid w:val="006F605D"/>
    <w:rsid w:val="006F6255"/>
    <w:rsid w:val="006F6441"/>
    <w:rsid w:val="006F6569"/>
    <w:rsid w:val="006F6B41"/>
    <w:rsid w:val="006F6D4C"/>
    <w:rsid w:val="006F78E0"/>
    <w:rsid w:val="006F7B70"/>
    <w:rsid w:val="007000E1"/>
    <w:rsid w:val="007009B8"/>
    <w:rsid w:val="00700B43"/>
    <w:rsid w:val="0070148C"/>
    <w:rsid w:val="007015B6"/>
    <w:rsid w:val="00701F1D"/>
    <w:rsid w:val="00702013"/>
    <w:rsid w:val="007027C6"/>
    <w:rsid w:val="00702CB8"/>
    <w:rsid w:val="0070309B"/>
    <w:rsid w:val="0070346C"/>
    <w:rsid w:val="00703AAB"/>
    <w:rsid w:val="007040C5"/>
    <w:rsid w:val="00704154"/>
    <w:rsid w:val="007044C4"/>
    <w:rsid w:val="00704C43"/>
    <w:rsid w:val="00704CC0"/>
    <w:rsid w:val="00704D43"/>
    <w:rsid w:val="007056F7"/>
    <w:rsid w:val="00705CB7"/>
    <w:rsid w:val="00706692"/>
    <w:rsid w:val="00706C60"/>
    <w:rsid w:val="00706DCD"/>
    <w:rsid w:val="007078E6"/>
    <w:rsid w:val="00707B00"/>
    <w:rsid w:val="007101C2"/>
    <w:rsid w:val="0071058D"/>
    <w:rsid w:val="00710D76"/>
    <w:rsid w:val="00711520"/>
    <w:rsid w:val="00711619"/>
    <w:rsid w:val="00711986"/>
    <w:rsid w:val="00711AED"/>
    <w:rsid w:val="00712783"/>
    <w:rsid w:val="00712D3F"/>
    <w:rsid w:val="00712ED8"/>
    <w:rsid w:val="00713178"/>
    <w:rsid w:val="0071320B"/>
    <w:rsid w:val="00713367"/>
    <w:rsid w:val="0071354B"/>
    <w:rsid w:val="007147E0"/>
    <w:rsid w:val="0071493D"/>
    <w:rsid w:val="00714AA4"/>
    <w:rsid w:val="007168B3"/>
    <w:rsid w:val="00716FE2"/>
    <w:rsid w:val="00717288"/>
    <w:rsid w:val="007172FA"/>
    <w:rsid w:val="007177BB"/>
    <w:rsid w:val="0072033B"/>
    <w:rsid w:val="007206BA"/>
    <w:rsid w:val="007209DD"/>
    <w:rsid w:val="00721339"/>
    <w:rsid w:val="0072133F"/>
    <w:rsid w:val="007215ED"/>
    <w:rsid w:val="00721A31"/>
    <w:rsid w:val="0072226A"/>
    <w:rsid w:val="00722B6F"/>
    <w:rsid w:val="00723A66"/>
    <w:rsid w:val="00724796"/>
    <w:rsid w:val="007247A2"/>
    <w:rsid w:val="007247A5"/>
    <w:rsid w:val="00724906"/>
    <w:rsid w:val="0072549F"/>
    <w:rsid w:val="00725A1C"/>
    <w:rsid w:val="00725F6A"/>
    <w:rsid w:val="00726220"/>
    <w:rsid w:val="00726C28"/>
    <w:rsid w:val="00726C92"/>
    <w:rsid w:val="00726E51"/>
    <w:rsid w:val="00726F52"/>
    <w:rsid w:val="0072703A"/>
    <w:rsid w:val="00727071"/>
    <w:rsid w:val="00727340"/>
    <w:rsid w:val="00727887"/>
    <w:rsid w:val="007278BD"/>
    <w:rsid w:val="00727D9A"/>
    <w:rsid w:val="007301EC"/>
    <w:rsid w:val="0073087C"/>
    <w:rsid w:val="00730A0B"/>
    <w:rsid w:val="00731058"/>
    <w:rsid w:val="00731961"/>
    <w:rsid w:val="00731B23"/>
    <w:rsid w:val="007328B1"/>
    <w:rsid w:val="00732EED"/>
    <w:rsid w:val="00733138"/>
    <w:rsid w:val="007338E5"/>
    <w:rsid w:val="007343E9"/>
    <w:rsid w:val="007346C6"/>
    <w:rsid w:val="007350F9"/>
    <w:rsid w:val="0073573D"/>
    <w:rsid w:val="00735CF0"/>
    <w:rsid w:val="00735D97"/>
    <w:rsid w:val="00736094"/>
    <w:rsid w:val="0073619B"/>
    <w:rsid w:val="00736A3C"/>
    <w:rsid w:val="00736FE6"/>
    <w:rsid w:val="00737774"/>
    <w:rsid w:val="00740829"/>
    <w:rsid w:val="00740A5A"/>
    <w:rsid w:val="00741177"/>
    <w:rsid w:val="00741495"/>
    <w:rsid w:val="007422B6"/>
    <w:rsid w:val="007425DD"/>
    <w:rsid w:val="00742AD5"/>
    <w:rsid w:val="00742DB1"/>
    <w:rsid w:val="00742EBD"/>
    <w:rsid w:val="007433EC"/>
    <w:rsid w:val="007435AA"/>
    <w:rsid w:val="0074384E"/>
    <w:rsid w:val="00743C20"/>
    <w:rsid w:val="00743C94"/>
    <w:rsid w:val="0074401C"/>
    <w:rsid w:val="00744501"/>
    <w:rsid w:val="00744C86"/>
    <w:rsid w:val="00745332"/>
    <w:rsid w:val="00745AAC"/>
    <w:rsid w:val="00745E77"/>
    <w:rsid w:val="0074646F"/>
    <w:rsid w:val="007469B1"/>
    <w:rsid w:val="00746E62"/>
    <w:rsid w:val="00746F9A"/>
    <w:rsid w:val="0074796D"/>
    <w:rsid w:val="00750374"/>
    <w:rsid w:val="00750784"/>
    <w:rsid w:val="00751271"/>
    <w:rsid w:val="0075177E"/>
    <w:rsid w:val="00751878"/>
    <w:rsid w:val="00751B72"/>
    <w:rsid w:val="00751CED"/>
    <w:rsid w:val="00752100"/>
    <w:rsid w:val="00752A22"/>
    <w:rsid w:val="00752BAF"/>
    <w:rsid w:val="00753036"/>
    <w:rsid w:val="00753353"/>
    <w:rsid w:val="00753D50"/>
    <w:rsid w:val="00753E2D"/>
    <w:rsid w:val="00754033"/>
    <w:rsid w:val="0075486B"/>
    <w:rsid w:val="007559C4"/>
    <w:rsid w:val="00755D97"/>
    <w:rsid w:val="00755E62"/>
    <w:rsid w:val="0075667C"/>
    <w:rsid w:val="00756788"/>
    <w:rsid w:val="00756D59"/>
    <w:rsid w:val="00756FCE"/>
    <w:rsid w:val="00757260"/>
    <w:rsid w:val="00757518"/>
    <w:rsid w:val="00757DE3"/>
    <w:rsid w:val="007607D8"/>
    <w:rsid w:val="0076082B"/>
    <w:rsid w:val="0076092E"/>
    <w:rsid w:val="007609AC"/>
    <w:rsid w:val="00760D33"/>
    <w:rsid w:val="00760E33"/>
    <w:rsid w:val="007616DC"/>
    <w:rsid w:val="00761D10"/>
    <w:rsid w:val="00761FAC"/>
    <w:rsid w:val="00762369"/>
    <w:rsid w:val="007623DE"/>
    <w:rsid w:val="007624FB"/>
    <w:rsid w:val="00762894"/>
    <w:rsid w:val="007629F7"/>
    <w:rsid w:val="00762B99"/>
    <w:rsid w:val="00763152"/>
    <w:rsid w:val="007631C4"/>
    <w:rsid w:val="00763361"/>
    <w:rsid w:val="00763459"/>
    <w:rsid w:val="007637F4"/>
    <w:rsid w:val="0076431E"/>
    <w:rsid w:val="00764539"/>
    <w:rsid w:val="00764601"/>
    <w:rsid w:val="00764663"/>
    <w:rsid w:val="0076471B"/>
    <w:rsid w:val="007648F4"/>
    <w:rsid w:val="00764D7D"/>
    <w:rsid w:val="00764E79"/>
    <w:rsid w:val="00765287"/>
    <w:rsid w:val="00766111"/>
    <w:rsid w:val="00766257"/>
    <w:rsid w:val="00766343"/>
    <w:rsid w:val="007665A6"/>
    <w:rsid w:val="007665FD"/>
    <w:rsid w:val="00766803"/>
    <w:rsid w:val="00766F73"/>
    <w:rsid w:val="00767B05"/>
    <w:rsid w:val="00767B1F"/>
    <w:rsid w:val="007702F3"/>
    <w:rsid w:val="00770850"/>
    <w:rsid w:val="007716BD"/>
    <w:rsid w:val="00771F2C"/>
    <w:rsid w:val="00772003"/>
    <w:rsid w:val="0077271A"/>
    <w:rsid w:val="00772BE0"/>
    <w:rsid w:val="00772C12"/>
    <w:rsid w:val="00772D19"/>
    <w:rsid w:val="00772DD5"/>
    <w:rsid w:val="007736D1"/>
    <w:rsid w:val="007742ED"/>
    <w:rsid w:val="00774FDE"/>
    <w:rsid w:val="007750F6"/>
    <w:rsid w:val="0077564C"/>
    <w:rsid w:val="007758F7"/>
    <w:rsid w:val="007759BA"/>
    <w:rsid w:val="00775D69"/>
    <w:rsid w:val="007775FC"/>
    <w:rsid w:val="00777DAC"/>
    <w:rsid w:val="0078076F"/>
    <w:rsid w:val="007807A1"/>
    <w:rsid w:val="00780FD8"/>
    <w:rsid w:val="0078135F"/>
    <w:rsid w:val="00781422"/>
    <w:rsid w:val="0078172A"/>
    <w:rsid w:val="00781897"/>
    <w:rsid w:val="00782444"/>
    <w:rsid w:val="007826BD"/>
    <w:rsid w:val="00782859"/>
    <w:rsid w:val="007829AE"/>
    <w:rsid w:val="00783646"/>
    <w:rsid w:val="00783AA2"/>
    <w:rsid w:val="00783F27"/>
    <w:rsid w:val="00784A36"/>
    <w:rsid w:val="00784C3E"/>
    <w:rsid w:val="00785A70"/>
    <w:rsid w:val="007864F0"/>
    <w:rsid w:val="00786557"/>
    <w:rsid w:val="00786DFC"/>
    <w:rsid w:val="0079011F"/>
    <w:rsid w:val="00790139"/>
    <w:rsid w:val="007906A7"/>
    <w:rsid w:val="00790721"/>
    <w:rsid w:val="007913B2"/>
    <w:rsid w:val="00791844"/>
    <w:rsid w:val="00791B24"/>
    <w:rsid w:val="00791C37"/>
    <w:rsid w:val="00791FE4"/>
    <w:rsid w:val="0079323D"/>
    <w:rsid w:val="00793528"/>
    <w:rsid w:val="007935E6"/>
    <w:rsid w:val="00793BB2"/>
    <w:rsid w:val="00793C75"/>
    <w:rsid w:val="00793D34"/>
    <w:rsid w:val="00793DDD"/>
    <w:rsid w:val="00794B85"/>
    <w:rsid w:val="00794DEE"/>
    <w:rsid w:val="00795746"/>
    <w:rsid w:val="00795A9E"/>
    <w:rsid w:val="00795E18"/>
    <w:rsid w:val="007964D7"/>
    <w:rsid w:val="00796D60"/>
    <w:rsid w:val="00797143"/>
    <w:rsid w:val="00797843"/>
    <w:rsid w:val="00797EA0"/>
    <w:rsid w:val="007A0622"/>
    <w:rsid w:val="007A07FB"/>
    <w:rsid w:val="007A084F"/>
    <w:rsid w:val="007A0D70"/>
    <w:rsid w:val="007A0F4A"/>
    <w:rsid w:val="007A13C0"/>
    <w:rsid w:val="007A13D0"/>
    <w:rsid w:val="007A1EDF"/>
    <w:rsid w:val="007A1FBF"/>
    <w:rsid w:val="007A2154"/>
    <w:rsid w:val="007A2507"/>
    <w:rsid w:val="007A2AD4"/>
    <w:rsid w:val="007A2E94"/>
    <w:rsid w:val="007A3E36"/>
    <w:rsid w:val="007A4B99"/>
    <w:rsid w:val="007A4C67"/>
    <w:rsid w:val="007A5274"/>
    <w:rsid w:val="007A5986"/>
    <w:rsid w:val="007A59D3"/>
    <w:rsid w:val="007A59ED"/>
    <w:rsid w:val="007A5E7C"/>
    <w:rsid w:val="007A61A1"/>
    <w:rsid w:val="007A6C6A"/>
    <w:rsid w:val="007A7037"/>
    <w:rsid w:val="007A70BC"/>
    <w:rsid w:val="007A726F"/>
    <w:rsid w:val="007A7BE7"/>
    <w:rsid w:val="007A7C49"/>
    <w:rsid w:val="007B004A"/>
    <w:rsid w:val="007B0516"/>
    <w:rsid w:val="007B0A97"/>
    <w:rsid w:val="007B0B86"/>
    <w:rsid w:val="007B0E56"/>
    <w:rsid w:val="007B1679"/>
    <w:rsid w:val="007B1AA2"/>
    <w:rsid w:val="007B1BDF"/>
    <w:rsid w:val="007B1DD9"/>
    <w:rsid w:val="007B2AEE"/>
    <w:rsid w:val="007B2B24"/>
    <w:rsid w:val="007B36EE"/>
    <w:rsid w:val="007B3A9B"/>
    <w:rsid w:val="007B3C44"/>
    <w:rsid w:val="007B3EC8"/>
    <w:rsid w:val="007B434B"/>
    <w:rsid w:val="007B4BAC"/>
    <w:rsid w:val="007B4C8A"/>
    <w:rsid w:val="007B4DA9"/>
    <w:rsid w:val="007B4E5F"/>
    <w:rsid w:val="007B5030"/>
    <w:rsid w:val="007B5705"/>
    <w:rsid w:val="007B5880"/>
    <w:rsid w:val="007B5A00"/>
    <w:rsid w:val="007B6F12"/>
    <w:rsid w:val="007B6F50"/>
    <w:rsid w:val="007B7446"/>
    <w:rsid w:val="007B744E"/>
    <w:rsid w:val="007B74A3"/>
    <w:rsid w:val="007B7F4E"/>
    <w:rsid w:val="007C0061"/>
    <w:rsid w:val="007C02F0"/>
    <w:rsid w:val="007C05DA"/>
    <w:rsid w:val="007C0FB1"/>
    <w:rsid w:val="007C137B"/>
    <w:rsid w:val="007C1407"/>
    <w:rsid w:val="007C1956"/>
    <w:rsid w:val="007C1AC0"/>
    <w:rsid w:val="007C2D51"/>
    <w:rsid w:val="007C3784"/>
    <w:rsid w:val="007C387D"/>
    <w:rsid w:val="007C3B84"/>
    <w:rsid w:val="007C3C22"/>
    <w:rsid w:val="007C478D"/>
    <w:rsid w:val="007C4890"/>
    <w:rsid w:val="007C4A27"/>
    <w:rsid w:val="007C4AE9"/>
    <w:rsid w:val="007C4B51"/>
    <w:rsid w:val="007C4D41"/>
    <w:rsid w:val="007C4F41"/>
    <w:rsid w:val="007C533E"/>
    <w:rsid w:val="007C573B"/>
    <w:rsid w:val="007C5AC5"/>
    <w:rsid w:val="007C5E40"/>
    <w:rsid w:val="007C6438"/>
    <w:rsid w:val="007C71E9"/>
    <w:rsid w:val="007C739A"/>
    <w:rsid w:val="007C7419"/>
    <w:rsid w:val="007D0B39"/>
    <w:rsid w:val="007D142C"/>
    <w:rsid w:val="007D1987"/>
    <w:rsid w:val="007D1B92"/>
    <w:rsid w:val="007D231C"/>
    <w:rsid w:val="007D2453"/>
    <w:rsid w:val="007D268F"/>
    <w:rsid w:val="007D3270"/>
    <w:rsid w:val="007D338B"/>
    <w:rsid w:val="007D34C6"/>
    <w:rsid w:val="007D36A3"/>
    <w:rsid w:val="007D4110"/>
    <w:rsid w:val="007D42A1"/>
    <w:rsid w:val="007D4332"/>
    <w:rsid w:val="007D454A"/>
    <w:rsid w:val="007D4550"/>
    <w:rsid w:val="007D4D72"/>
    <w:rsid w:val="007D59A2"/>
    <w:rsid w:val="007D5B2F"/>
    <w:rsid w:val="007D6544"/>
    <w:rsid w:val="007D6B45"/>
    <w:rsid w:val="007D6BCE"/>
    <w:rsid w:val="007D72D3"/>
    <w:rsid w:val="007D73B5"/>
    <w:rsid w:val="007D74A8"/>
    <w:rsid w:val="007D771A"/>
    <w:rsid w:val="007D7AF6"/>
    <w:rsid w:val="007D7CB0"/>
    <w:rsid w:val="007D7F8F"/>
    <w:rsid w:val="007E00E1"/>
    <w:rsid w:val="007E0834"/>
    <w:rsid w:val="007E0C1E"/>
    <w:rsid w:val="007E0C5E"/>
    <w:rsid w:val="007E0D28"/>
    <w:rsid w:val="007E0ED9"/>
    <w:rsid w:val="007E1C51"/>
    <w:rsid w:val="007E1DE0"/>
    <w:rsid w:val="007E2184"/>
    <w:rsid w:val="007E3089"/>
    <w:rsid w:val="007E3317"/>
    <w:rsid w:val="007E3506"/>
    <w:rsid w:val="007E360B"/>
    <w:rsid w:val="007E3A46"/>
    <w:rsid w:val="007E462B"/>
    <w:rsid w:val="007E47F1"/>
    <w:rsid w:val="007E4C25"/>
    <w:rsid w:val="007E5131"/>
    <w:rsid w:val="007E56A0"/>
    <w:rsid w:val="007E58E0"/>
    <w:rsid w:val="007E592D"/>
    <w:rsid w:val="007E5E9D"/>
    <w:rsid w:val="007E66B1"/>
    <w:rsid w:val="007E6D8C"/>
    <w:rsid w:val="007E741C"/>
    <w:rsid w:val="007E761B"/>
    <w:rsid w:val="007E7EBD"/>
    <w:rsid w:val="007F0082"/>
    <w:rsid w:val="007F03E2"/>
    <w:rsid w:val="007F0CDC"/>
    <w:rsid w:val="007F0E20"/>
    <w:rsid w:val="007F1984"/>
    <w:rsid w:val="007F1A2F"/>
    <w:rsid w:val="007F2048"/>
    <w:rsid w:val="007F2408"/>
    <w:rsid w:val="007F25E8"/>
    <w:rsid w:val="007F2646"/>
    <w:rsid w:val="007F2972"/>
    <w:rsid w:val="007F2A7F"/>
    <w:rsid w:val="007F3144"/>
    <w:rsid w:val="007F31B1"/>
    <w:rsid w:val="007F351A"/>
    <w:rsid w:val="007F3679"/>
    <w:rsid w:val="007F3715"/>
    <w:rsid w:val="007F3C61"/>
    <w:rsid w:val="007F3D79"/>
    <w:rsid w:val="007F3DD1"/>
    <w:rsid w:val="007F4189"/>
    <w:rsid w:val="007F41D9"/>
    <w:rsid w:val="007F49F0"/>
    <w:rsid w:val="007F4D5F"/>
    <w:rsid w:val="007F4FB1"/>
    <w:rsid w:val="007F5312"/>
    <w:rsid w:val="007F5388"/>
    <w:rsid w:val="007F59BD"/>
    <w:rsid w:val="007F5FC2"/>
    <w:rsid w:val="007F6063"/>
    <w:rsid w:val="007F6F9F"/>
    <w:rsid w:val="007F79AF"/>
    <w:rsid w:val="008007F0"/>
    <w:rsid w:val="00800F14"/>
    <w:rsid w:val="0080249E"/>
    <w:rsid w:val="0080271B"/>
    <w:rsid w:val="0080290D"/>
    <w:rsid w:val="008030FD"/>
    <w:rsid w:val="00803A8E"/>
    <w:rsid w:val="00803B62"/>
    <w:rsid w:val="00803D89"/>
    <w:rsid w:val="008040C9"/>
    <w:rsid w:val="0080426E"/>
    <w:rsid w:val="0080432B"/>
    <w:rsid w:val="0080439F"/>
    <w:rsid w:val="0080576B"/>
    <w:rsid w:val="0080576C"/>
    <w:rsid w:val="00805C9C"/>
    <w:rsid w:val="00805D42"/>
    <w:rsid w:val="0080605E"/>
    <w:rsid w:val="00806970"/>
    <w:rsid w:val="008069E0"/>
    <w:rsid w:val="00806B2F"/>
    <w:rsid w:val="00807C52"/>
    <w:rsid w:val="00807CC3"/>
    <w:rsid w:val="0081004B"/>
    <w:rsid w:val="00810AEF"/>
    <w:rsid w:val="00810DDF"/>
    <w:rsid w:val="00810E1F"/>
    <w:rsid w:val="0081107D"/>
    <w:rsid w:val="00811495"/>
    <w:rsid w:val="00812076"/>
    <w:rsid w:val="0081222F"/>
    <w:rsid w:val="00813242"/>
    <w:rsid w:val="0081327C"/>
    <w:rsid w:val="008134D0"/>
    <w:rsid w:val="008136E3"/>
    <w:rsid w:val="00813DA3"/>
    <w:rsid w:val="00813DA7"/>
    <w:rsid w:val="008142D5"/>
    <w:rsid w:val="008143EF"/>
    <w:rsid w:val="0081480C"/>
    <w:rsid w:val="008151E3"/>
    <w:rsid w:val="0081521E"/>
    <w:rsid w:val="00815714"/>
    <w:rsid w:val="00815906"/>
    <w:rsid w:val="00815C1C"/>
    <w:rsid w:val="008177B9"/>
    <w:rsid w:val="00817B33"/>
    <w:rsid w:val="00817BA1"/>
    <w:rsid w:val="00821077"/>
    <w:rsid w:val="00821424"/>
    <w:rsid w:val="00821827"/>
    <w:rsid w:val="00821BAA"/>
    <w:rsid w:val="00821E6F"/>
    <w:rsid w:val="0082225F"/>
    <w:rsid w:val="008224F4"/>
    <w:rsid w:val="00822CE0"/>
    <w:rsid w:val="00822D8A"/>
    <w:rsid w:val="008231C9"/>
    <w:rsid w:val="00823445"/>
    <w:rsid w:val="00823DB2"/>
    <w:rsid w:val="00824ABD"/>
    <w:rsid w:val="00824C50"/>
    <w:rsid w:val="00824F5C"/>
    <w:rsid w:val="00825881"/>
    <w:rsid w:val="008261DD"/>
    <w:rsid w:val="0082642E"/>
    <w:rsid w:val="008264FC"/>
    <w:rsid w:val="0082699C"/>
    <w:rsid w:val="00827558"/>
    <w:rsid w:val="008275EB"/>
    <w:rsid w:val="00827902"/>
    <w:rsid w:val="00827BE3"/>
    <w:rsid w:val="0083013A"/>
    <w:rsid w:val="0083024A"/>
    <w:rsid w:val="008308F2"/>
    <w:rsid w:val="00830DD4"/>
    <w:rsid w:val="00830FFB"/>
    <w:rsid w:val="00831864"/>
    <w:rsid w:val="00831D18"/>
    <w:rsid w:val="00831D73"/>
    <w:rsid w:val="008321A0"/>
    <w:rsid w:val="00832DBD"/>
    <w:rsid w:val="00832ED1"/>
    <w:rsid w:val="008333B0"/>
    <w:rsid w:val="00833462"/>
    <w:rsid w:val="008336AE"/>
    <w:rsid w:val="00833732"/>
    <w:rsid w:val="0083390C"/>
    <w:rsid w:val="00833E81"/>
    <w:rsid w:val="00833F83"/>
    <w:rsid w:val="0083449F"/>
    <w:rsid w:val="00834B1D"/>
    <w:rsid w:val="00834C65"/>
    <w:rsid w:val="00834CF1"/>
    <w:rsid w:val="00834D07"/>
    <w:rsid w:val="0083576B"/>
    <w:rsid w:val="00835809"/>
    <w:rsid w:val="00835936"/>
    <w:rsid w:val="00836551"/>
    <w:rsid w:val="00836ADC"/>
    <w:rsid w:val="00836BBA"/>
    <w:rsid w:val="008373A3"/>
    <w:rsid w:val="00837DE6"/>
    <w:rsid w:val="0084000A"/>
    <w:rsid w:val="00840142"/>
    <w:rsid w:val="00841798"/>
    <w:rsid w:val="00841B46"/>
    <w:rsid w:val="00841FB9"/>
    <w:rsid w:val="00842028"/>
    <w:rsid w:val="008424AB"/>
    <w:rsid w:val="00842779"/>
    <w:rsid w:val="008428F5"/>
    <w:rsid w:val="00842F91"/>
    <w:rsid w:val="00843130"/>
    <w:rsid w:val="008432F0"/>
    <w:rsid w:val="008433AE"/>
    <w:rsid w:val="00843522"/>
    <w:rsid w:val="008435BC"/>
    <w:rsid w:val="00843A4A"/>
    <w:rsid w:val="00843EBC"/>
    <w:rsid w:val="00843FA3"/>
    <w:rsid w:val="008449B9"/>
    <w:rsid w:val="00844A81"/>
    <w:rsid w:val="00844C86"/>
    <w:rsid w:val="00845462"/>
    <w:rsid w:val="00845932"/>
    <w:rsid w:val="00846427"/>
    <w:rsid w:val="00846753"/>
    <w:rsid w:val="00846933"/>
    <w:rsid w:val="0084773E"/>
    <w:rsid w:val="008500CD"/>
    <w:rsid w:val="00850579"/>
    <w:rsid w:val="00850618"/>
    <w:rsid w:val="00850B97"/>
    <w:rsid w:val="00850D4E"/>
    <w:rsid w:val="00851684"/>
    <w:rsid w:val="008518D1"/>
    <w:rsid w:val="00851B6E"/>
    <w:rsid w:val="008521D9"/>
    <w:rsid w:val="00852E1A"/>
    <w:rsid w:val="00852F08"/>
    <w:rsid w:val="00853228"/>
    <w:rsid w:val="00853423"/>
    <w:rsid w:val="00853451"/>
    <w:rsid w:val="00853815"/>
    <w:rsid w:val="0085391C"/>
    <w:rsid w:val="00853FE4"/>
    <w:rsid w:val="00854289"/>
    <w:rsid w:val="0085489D"/>
    <w:rsid w:val="00854B8B"/>
    <w:rsid w:val="00854C24"/>
    <w:rsid w:val="00855118"/>
    <w:rsid w:val="00855147"/>
    <w:rsid w:val="00855328"/>
    <w:rsid w:val="00855402"/>
    <w:rsid w:val="008556FE"/>
    <w:rsid w:val="008557D6"/>
    <w:rsid w:val="00855ED3"/>
    <w:rsid w:val="008561E6"/>
    <w:rsid w:val="0085690D"/>
    <w:rsid w:val="00856C6D"/>
    <w:rsid w:val="00857452"/>
    <w:rsid w:val="0085750D"/>
    <w:rsid w:val="00857CBF"/>
    <w:rsid w:val="00857E50"/>
    <w:rsid w:val="00857F88"/>
    <w:rsid w:val="008605FF"/>
    <w:rsid w:val="00860745"/>
    <w:rsid w:val="00860766"/>
    <w:rsid w:val="00860E25"/>
    <w:rsid w:val="008611EE"/>
    <w:rsid w:val="00861733"/>
    <w:rsid w:val="0086181B"/>
    <w:rsid w:val="0086229D"/>
    <w:rsid w:val="0086274A"/>
    <w:rsid w:val="0086276D"/>
    <w:rsid w:val="0086297C"/>
    <w:rsid w:val="00862C6C"/>
    <w:rsid w:val="0086301E"/>
    <w:rsid w:val="0086353C"/>
    <w:rsid w:val="008635DD"/>
    <w:rsid w:val="0086388F"/>
    <w:rsid w:val="0086401B"/>
    <w:rsid w:val="008644AF"/>
    <w:rsid w:val="00864CB9"/>
    <w:rsid w:val="00865139"/>
    <w:rsid w:val="00866102"/>
    <w:rsid w:val="008662A6"/>
    <w:rsid w:val="008666A7"/>
    <w:rsid w:val="00866BE3"/>
    <w:rsid w:val="00866C50"/>
    <w:rsid w:val="00870EB0"/>
    <w:rsid w:val="0087111B"/>
    <w:rsid w:val="00872A38"/>
    <w:rsid w:val="00873CDF"/>
    <w:rsid w:val="00873DA6"/>
    <w:rsid w:val="00874424"/>
    <w:rsid w:val="0087469F"/>
    <w:rsid w:val="00874747"/>
    <w:rsid w:val="008747D1"/>
    <w:rsid w:val="008748AB"/>
    <w:rsid w:val="008752BA"/>
    <w:rsid w:val="0087565F"/>
    <w:rsid w:val="00875968"/>
    <w:rsid w:val="00875C24"/>
    <w:rsid w:val="00875DBD"/>
    <w:rsid w:val="00876313"/>
    <w:rsid w:val="00876365"/>
    <w:rsid w:val="008764FB"/>
    <w:rsid w:val="00876649"/>
    <w:rsid w:val="00876793"/>
    <w:rsid w:val="00876DF2"/>
    <w:rsid w:val="00876F76"/>
    <w:rsid w:val="00877061"/>
    <w:rsid w:val="00877C55"/>
    <w:rsid w:val="00880683"/>
    <w:rsid w:val="00880813"/>
    <w:rsid w:val="00880A1F"/>
    <w:rsid w:val="00880B79"/>
    <w:rsid w:val="00880C22"/>
    <w:rsid w:val="00880CC5"/>
    <w:rsid w:val="00881330"/>
    <w:rsid w:val="00881BEB"/>
    <w:rsid w:val="00881C1E"/>
    <w:rsid w:val="00882264"/>
    <w:rsid w:val="00882D1C"/>
    <w:rsid w:val="00883441"/>
    <w:rsid w:val="00883533"/>
    <w:rsid w:val="0088359D"/>
    <w:rsid w:val="00883931"/>
    <w:rsid w:val="00884B74"/>
    <w:rsid w:val="00884C0D"/>
    <w:rsid w:val="00884E46"/>
    <w:rsid w:val="00884FF5"/>
    <w:rsid w:val="00885036"/>
    <w:rsid w:val="00886191"/>
    <w:rsid w:val="00886421"/>
    <w:rsid w:val="0088693A"/>
    <w:rsid w:val="00886F9A"/>
    <w:rsid w:val="00886FCB"/>
    <w:rsid w:val="008874AA"/>
    <w:rsid w:val="00887979"/>
    <w:rsid w:val="00887C2B"/>
    <w:rsid w:val="00887F85"/>
    <w:rsid w:val="00890E1A"/>
    <w:rsid w:val="008913ED"/>
    <w:rsid w:val="00891451"/>
    <w:rsid w:val="00891568"/>
    <w:rsid w:val="00892090"/>
    <w:rsid w:val="008921DD"/>
    <w:rsid w:val="00892591"/>
    <w:rsid w:val="008925BF"/>
    <w:rsid w:val="00892916"/>
    <w:rsid w:val="008929D8"/>
    <w:rsid w:val="00892DFD"/>
    <w:rsid w:val="00893605"/>
    <w:rsid w:val="00893BDF"/>
    <w:rsid w:val="00893E31"/>
    <w:rsid w:val="008941F8"/>
    <w:rsid w:val="00894782"/>
    <w:rsid w:val="008947DA"/>
    <w:rsid w:val="0089507C"/>
    <w:rsid w:val="00895E98"/>
    <w:rsid w:val="008960B2"/>
    <w:rsid w:val="00896365"/>
    <w:rsid w:val="00896433"/>
    <w:rsid w:val="00897031"/>
    <w:rsid w:val="008974D1"/>
    <w:rsid w:val="0089778D"/>
    <w:rsid w:val="00897B74"/>
    <w:rsid w:val="008A012F"/>
    <w:rsid w:val="008A0236"/>
    <w:rsid w:val="008A0913"/>
    <w:rsid w:val="008A0AE8"/>
    <w:rsid w:val="008A1099"/>
    <w:rsid w:val="008A1296"/>
    <w:rsid w:val="008A20CD"/>
    <w:rsid w:val="008A2426"/>
    <w:rsid w:val="008A26EE"/>
    <w:rsid w:val="008A2A3D"/>
    <w:rsid w:val="008A301E"/>
    <w:rsid w:val="008A3033"/>
    <w:rsid w:val="008A318D"/>
    <w:rsid w:val="008A33D1"/>
    <w:rsid w:val="008A3485"/>
    <w:rsid w:val="008A3D10"/>
    <w:rsid w:val="008A3F75"/>
    <w:rsid w:val="008A42DA"/>
    <w:rsid w:val="008A4D7E"/>
    <w:rsid w:val="008A4E50"/>
    <w:rsid w:val="008A5030"/>
    <w:rsid w:val="008A517E"/>
    <w:rsid w:val="008A52BD"/>
    <w:rsid w:val="008A5A11"/>
    <w:rsid w:val="008A5BAD"/>
    <w:rsid w:val="008A5C2F"/>
    <w:rsid w:val="008A6127"/>
    <w:rsid w:val="008A62DD"/>
    <w:rsid w:val="008A64B4"/>
    <w:rsid w:val="008A6752"/>
    <w:rsid w:val="008A6824"/>
    <w:rsid w:val="008A6A75"/>
    <w:rsid w:val="008A6B90"/>
    <w:rsid w:val="008A6CD9"/>
    <w:rsid w:val="008A757E"/>
    <w:rsid w:val="008A7A7C"/>
    <w:rsid w:val="008A7E7C"/>
    <w:rsid w:val="008B038B"/>
    <w:rsid w:val="008B05D5"/>
    <w:rsid w:val="008B0648"/>
    <w:rsid w:val="008B0A54"/>
    <w:rsid w:val="008B0D3A"/>
    <w:rsid w:val="008B0D3B"/>
    <w:rsid w:val="008B1DDB"/>
    <w:rsid w:val="008B3011"/>
    <w:rsid w:val="008B3299"/>
    <w:rsid w:val="008B35B7"/>
    <w:rsid w:val="008B37D9"/>
    <w:rsid w:val="008B3A7D"/>
    <w:rsid w:val="008B3AEE"/>
    <w:rsid w:val="008B3DBE"/>
    <w:rsid w:val="008B46D8"/>
    <w:rsid w:val="008B4891"/>
    <w:rsid w:val="008B49DA"/>
    <w:rsid w:val="008B4BFD"/>
    <w:rsid w:val="008B5401"/>
    <w:rsid w:val="008B553D"/>
    <w:rsid w:val="008B55AE"/>
    <w:rsid w:val="008B564A"/>
    <w:rsid w:val="008B5713"/>
    <w:rsid w:val="008B5769"/>
    <w:rsid w:val="008B6634"/>
    <w:rsid w:val="008B6990"/>
    <w:rsid w:val="008B6DD9"/>
    <w:rsid w:val="008B701E"/>
    <w:rsid w:val="008B71D0"/>
    <w:rsid w:val="008B75A1"/>
    <w:rsid w:val="008B7C48"/>
    <w:rsid w:val="008B7C87"/>
    <w:rsid w:val="008B7E99"/>
    <w:rsid w:val="008C0174"/>
    <w:rsid w:val="008C0731"/>
    <w:rsid w:val="008C0CED"/>
    <w:rsid w:val="008C0E91"/>
    <w:rsid w:val="008C12A5"/>
    <w:rsid w:val="008C163E"/>
    <w:rsid w:val="008C23A2"/>
    <w:rsid w:val="008C2E28"/>
    <w:rsid w:val="008C356A"/>
    <w:rsid w:val="008C3FBE"/>
    <w:rsid w:val="008C4848"/>
    <w:rsid w:val="008C517E"/>
    <w:rsid w:val="008C5B8B"/>
    <w:rsid w:val="008C5E27"/>
    <w:rsid w:val="008C5EA1"/>
    <w:rsid w:val="008C5F21"/>
    <w:rsid w:val="008C7668"/>
    <w:rsid w:val="008D02C9"/>
    <w:rsid w:val="008D0714"/>
    <w:rsid w:val="008D0F60"/>
    <w:rsid w:val="008D1367"/>
    <w:rsid w:val="008D1BF2"/>
    <w:rsid w:val="008D1BFB"/>
    <w:rsid w:val="008D2955"/>
    <w:rsid w:val="008D2972"/>
    <w:rsid w:val="008D2E1F"/>
    <w:rsid w:val="008D386F"/>
    <w:rsid w:val="008D3A9A"/>
    <w:rsid w:val="008D40CE"/>
    <w:rsid w:val="008D4C3B"/>
    <w:rsid w:val="008D4CD7"/>
    <w:rsid w:val="008D4E28"/>
    <w:rsid w:val="008D5008"/>
    <w:rsid w:val="008D57C0"/>
    <w:rsid w:val="008D5B08"/>
    <w:rsid w:val="008D5E9F"/>
    <w:rsid w:val="008D6192"/>
    <w:rsid w:val="008D6C3A"/>
    <w:rsid w:val="008D6DAA"/>
    <w:rsid w:val="008D79D5"/>
    <w:rsid w:val="008E05D3"/>
    <w:rsid w:val="008E07A8"/>
    <w:rsid w:val="008E093F"/>
    <w:rsid w:val="008E17F1"/>
    <w:rsid w:val="008E248A"/>
    <w:rsid w:val="008E2578"/>
    <w:rsid w:val="008E2F02"/>
    <w:rsid w:val="008E36D6"/>
    <w:rsid w:val="008E3C4C"/>
    <w:rsid w:val="008E3E68"/>
    <w:rsid w:val="008E3F49"/>
    <w:rsid w:val="008E4008"/>
    <w:rsid w:val="008E45F1"/>
    <w:rsid w:val="008E493E"/>
    <w:rsid w:val="008E4DAC"/>
    <w:rsid w:val="008E532B"/>
    <w:rsid w:val="008E58E8"/>
    <w:rsid w:val="008E5E43"/>
    <w:rsid w:val="008E60BC"/>
    <w:rsid w:val="008E631F"/>
    <w:rsid w:val="008E6323"/>
    <w:rsid w:val="008E64E2"/>
    <w:rsid w:val="008E69C3"/>
    <w:rsid w:val="008E6B14"/>
    <w:rsid w:val="008E6EF8"/>
    <w:rsid w:val="008E70D4"/>
    <w:rsid w:val="008E729A"/>
    <w:rsid w:val="008E72E1"/>
    <w:rsid w:val="008F02E0"/>
    <w:rsid w:val="008F0445"/>
    <w:rsid w:val="008F0738"/>
    <w:rsid w:val="008F0E4F"/>
    <w:rsid w:val="008F10EF"/>
    <w:rsid w:val="008F1130"/>
    <w:rsid w:val="008F13A9"/>
    <w:rsid w:val="008F1A22"/>
    <w:rsid w:val="008F1B80"/>
    <w:rsid w:val="008F1DE1"/>
    <w:rsid w:val="008F2417"/>
    <w:rsid w:val="008F2B5E"/>
    <w:rsid w:val="008F2C3D"/>
    <w:rsid w:val="008F2CD3"/>
    <w:rsid w:val="008F3EEB"/>
    <w:rsid w:val="008F40F0"/>
    <w:rsid w:val="008F501C"/>
    <w:rsid w:val="008F5200"/>
    <w:rsid w:val="008F5342"/>
    <w:rsid w:val="008F67E6"/>
    <w:rsid w:val="008F68D7"/>
    <w:rsid w:val="008F6FD9"/>
    <w:rsid w:val="008F7261"/>
    <w:rsid w:val="008F729F"/>
    <w:rsid w:val="008F7B67"/>
    <w:rsid w:val="008F7CED"/>
    <w:rsid w:val="008F7E16"/>
    <w:rsid w:val="0090010F"/>
    <w:rsid w:val="009008B9"/>
    <w:rsid w:val="00900A61"/>
    <w:rsid w:val="00900CC4"/>
    <w:rsid w:val="00901507"/>
    <w:rsid w:val="0090153C"/>
    <w:rsid w:val="009016A4"/>
    <w:rsid w:val="00901D1A"/>
    <w:rsid w:val="009023D2"/>
    <w:rsid w:val="00902AB6"/>
    <w:rsid w:val="00902AB7"/>
    <w:rsid w:val="00903F1B"/>
    <w:rsid w:val="009041F8"/>
    <w:rsid w:val="0090435F"/>
    <w:rsid w:val="00904741"/>
    <w:rsid w:val="009053A9"/>
    <w:rsid w:val="00905428"/>
    <w:rsid w:val="0090596B"/>
    <w:rsid w:val="009059FE"/>
    <w:rsid w:val="00905C4A"/>
    <w:rsid w:val="0090695D"/>
    <w:rsid w:val="00906BF4"/>
    <w:rsid w:val="00907191"/>
    <w:rsid w:val="00907268"/>
    <w:rsid w:val="00907418"/>
    <w:rsid w:val="00907FC7"/>
    <w:rsid w:val="009104F0"/>
    <w:rsid w:val="00910557"/>
    <w:rsid w:val="00910974"/>
    <w:rsid w:val="00910B1C"/>
    <w:rsid w:val="00910D36"/>
    <w:rsid w:val="0091149E"/>
    <w:rsid w:val="009116D5"/>
    <w:rsid w:val="00911BC0"/>
    <w:rsid w:val="00911FF9"/>
    <w:rsid w:val="009129A6"/>
    <w:rsid w:val="00912F7B"/>
    <w:rsid w:val="00913552"/>
    <w:rsid w:val="009139D4"/>
    <w:rsid w:val="009143BF"/>
    <w:rsid w:val="00914421"/>
    <w:rsid w:val="009149DD"/>
    <w:rsid w:val="009149F0"/>
    <w:rsid w:val="00914B6D"/>
    <w:rsid w:val="00914DEB"/>
    <w:rsid w:val="0091503C"/>
    <w:rsid w:val="00915256"/>
    <w:rsid w:val="00915550"/>
    <w:rsid w:val="009156F2"/>
    <w:rsid w:val="00915E04"/>
    <w:rsid w:val="00915E5B"/>
    <w:rsid w:val="009161DD"/>
    <w:rsid w:val="0091642A"/>
    <w:rsid w:val="00916D9E"/>
    <w:rsid w:val="00917013"/>
    <w:rsid w:val="009173DF"/>
    <w:rsid w:val="009174AD"/>
    <w:rsid w:val="00920295"/>
    <w:rsid w:val="009207D5"/>
    <w:rsid w:val="0092091D"/>
    <w:rsid w:val="00920A45"/>
    <w:rsid w:val="00920EB3"/>
    <w:rsid w:val="0092108E"/>
    <w:rsid w:val="00921A2C"/>
    <w:rsid w:val="00921D66"/>
    <w:rsid w:val="00921EE6"/>
    <w:rsid w:val="00922086"/>
    <w:rsid w:val="00923075"/>
    <w:rsid w:val="009234CB"/>
    <w:rsid w:val="0092372A"/>
    <w:rsid w:val="00923CAD"/>
    <w:rsid w:val="00923CDB"/>
    <w:rsid w:val="00923F6F"/>
    <w:rsid w:val="0092401E"/>
    <w:rsid w:val="00924183"/>
    <w:rsid w:val="00924288"/>
    <w:rsid w:val="00924627"/>
    <w:rsid w:val="00924BB5"/>
    <w:rsid w:val="00925042"/>
    <w:rsid w:val="009252AC"/>
    <w:rsid w:val="009258C7"/>
    <w:rsid w:val="00925A0D"/>
    <w:rsid w:val="00925F72"/>
    <w:rsid w:val="009263AB"/>
    <w:rsid w:val="00926451"/>
    <w:rsid w:val="009265F6"/>
    <w:rsid w:val="00926AE7"/>
    <w:rsid w:val="00926CE2"/>
    <w:rsid w:val="00927321"/>
    <w:rsid w:val="00927C5A"/>
    <w:rsid w:val="00930046"/>
    <w:rsid w:val="00930561"/>
    <w:rsid w:val="009311FD"/>
    <w:rsid w:val="00931223"/>
    <w:rsid w:val="009317EF"/>
    <w:rsid w:val="009322DF"/>
    <w:rsid w:val="0093245E"/>
    <w:rsid w:val="009328C9"/>
    <w:rsid w:val="00933168"/>
    <w:rsid w:val="00933192"/>
    <w:rsid w:val="009337B6"/>
    <w:rsid w:val="0093381D"/>
    <w:rsid w:val="00933926"/>
    <w:rsid w:val="009342F8"/>
    <w:rsid w:val="00934614"/>
    <w:rsid w:val="00934B3F"/>
    <w:rsid w:val="00934B82"/>
    <w:rsid w:val="009354BC"/>
    <w:rsid w:val="00935605"/>
    <w:rsid w:val="009357FE"/>
    <w:rsid w:val="00935D07"/>
    <w:rsid w:val="00936543"/>
    <w:rsid w:val="00936667"/>
    <w:rsid w:val="00936837"/>
    <w:rsid w:val="00936D9E"/>
    <w:rsid w:val="009372DA"/>
    <w:rsid w:val="00937857"/>
    <w:rsid w:val="00937A39"/>
    <w:rsid w:val="00937D34"/>
    <w:rsid w:val="00937FB8"/>
    <w:rsid w:val="0094057F"/>
    <w:rsid w:val="009410DE"/>
    <w:rsid w:val="00941ACC"/>
    <w:rsid w:val="00941B65"/>
    <w:rsid w:val="009422B5"/>
    <w:rsid w:val="00942504"/>
    <w:rsid w:val="00942859"/>
    <w:rsid w:val="00942E86"/>
    <w:rsid w:val="009430FF"/>
    <w:rsid w:val="00943ABE"/>
    <w:rsid w:val="00944553"/>
    <w:rsid w:val="00945C44"/>
    <w:rsid w:val="009467A2"/>
    <w:rsid w:val="00946E74"/>
    <w:rsid w:val="009474BC"/>
    <w:rsid w:val="009475F2"/>
    <w:rsid w:val="00947616"/>
    <w:rsid w:val="00947C07"/>
    <w:rsid w:val="00947ED2"/>
    <w:rsid w:val="00950AB8"/>
    <w:rsid w:val="00950D66"/>
    <w:rsid w:val="00951068"/>
    <w:rsid w:val="0095137D"/>
    <w:rsid w:val="00951388"/>
    <w:rsid w:val="00951F82"/>
    <w:rsid w:val="009526B4"/>
    <w:rsid w:val="00952B69"/>
    <w:rsid w:val="00952E9E"/>
    <w:rsid w:val="00953372"/>
    <w:rsid w:val="009534B9"/>
    <w:rsid w:val="00953A5D"/>
    <w:rsid w:val="00954296"/>
    <w:rsid w:val="00954FBC"/>
    <w:rsid w:val="00955A56"/>
    <w:rsid w:val="00955D6F"/>
    <w:rsid w:val="00955F6F"/>
    <w:rsid w:val="009561E9"/>
    <w:rsid w:val="009562D1"/>
    <w:rsid w:val="00956320"/>
    <w:rsid w:val="0095673B"/>
    <w:rsid w:val="00956A6C"/>
    <w:rsid w:val="00956AB9"/>
    <w:rsid w:val="00957492"/>
    <w:rsid w:val="00957F3A"/>
    <w:rsid w:val="00960658"/>
    <w:rsid w:val="00960710"/>
    <w:rsid w:val="0096089E"/>
    <w:rsid w:val="0096118D"/>
    <w:rsid w:val="00961487"/>
    <w:rsid w:val="009615D2"/>
    <w:rsid w:val="00961746"/>
    <w:rsid w:val="00961850"/>
    <w:rsid w:val="00961D4A"/>
    <w:rsid w:val="00962139"/>
    <w:rsid w:val="0096261D"/>
    <w:rsid w:val="009628DB"/>
    <w:rsid w:val="00962EFE"/>
    <w:rsid w:val="00963402"/>
    <w:rsid w:val="0096353D"/>
    <w:rsid w:val="00963926"/>
    <w:rsid w:val="00963BA7"/>
    <w:rsid w:val="00963C65"/>
    <w:rsid w:val="00964B47"/>
    <w:rsid w:val="00964C54"/>
    <w:rsid w:val="00964E4E"/>
    <w:rsid w:val="00965406"/>
    <w:rsid w:val="00965B07"/>
    <w:rsid w:val="00965EE2"/>
    <w:rsid w:val="0096639C"/>
    <w:rsid w:val="00966DC2"/>
    <w:rsid w:val="00970C6B"/>
    <w:rsid w:val="0097196D"/>
    <w:rsid w:val="00971B63"/>
    <w:rsid w:val="00971D34"/>
    <w:rsid w:val="00972012"/>
    <w:rsid w:val="009720D3"/>
    <w:rsid w:val="00972316"/>
    <w:rsid w:val="009723CE"/>
    <w:rsid w:val="00972613"/>
    <w:rsid w:val="00972DC2"/>
    <w:rsid w:val="00972E1E"/>
    <w:rsid w:val="009731CF"/>
    <w:rsid w:val="00973351"/>
    <w:rsid w:val="00973685"/>
    <w:rsid w:val="00973CB0"/>
    <w:rsid w:val="00973F1C"/>
    <w:rsid w:val="0097412C"/>
    <w:rsid w:val="0097429A"/>
    <w:rsid w:val="009745A9"/>
    <w:rsid w:val="0097528D"/>
    <w:rsid w:val="00976050"/>
    <w:rsid w:val="0097615B"/>
    <w:rsid w:val="0097636E"/>
    <w:rsid w:val="00976543"/>
    <w:rsid w:val="00976670"/>
    <w:rsid w:val="009766E5"/>
    <w:rsid w:val="00976C3C"/>
    <w:rsid w:val="0097720D"/>
    <w:rsid w:val="0097728E"/>
    <w:rsid w:val="00977575"/>
    <w:rsid w:val="00977912"/>
    <w:rsid w:val="0098006A"/>
    <w:rsid w:val="0098032B"/>
    <w:rsid w:val="00980548"/>
    <w:rsid w:val="00980661"/>
    <w:rsid w:val="009807F0"/>
    <w:rsid w:val="009808C7"/>
    <w:rsid w:val="00980E88"/>
    <w:rsid w:val="00981185"/>
    <w:rsid w:val="00981D46"/>
    <w:rsid w:val="00982320"/>
    <w:rsid w:val="00982335"/>
    <w:rsid w:val="00982AA9"/>
    <w:rsid w:val="0098312B"/>
    <w:rsid w:val="00983153"/>
    <w:rsid w:val="009837F6"/>
    <w:rsid w:val="009842E8"/>
    <w:rsid w:val="0098482D"/>
    <w:rsid w:val="00984F5C"/>
    <w:rsid w:val="00985248"/>
    <w:rsid w:val="0098537A"/>
    <w:rsid w:val="0098577F"/>
    <w:rsid w:val="00985964"/>
    <w:rsid w:val="00985B9B"/>
    <w:rsid w:val="00986303"/>
    <w:rsid w:val="009864FE"/>
    <w:rsid w:val="009865AC"/>
    <w:rsid w:val="00986C09"/>
    <w:rsid w:val="00987553"/>
    <w:rsid w:val="00987AB9"/>
    <w:rsid w:val="00987C4D"/>
    <w:rsid w:val="009900C7"/>
    <w:rsid w:val="00990278"/>
    <w:rsid w:val="0099054A"/>
    <w:rsid w:val="00990FDA"/>
    <w:rsid w:val="0099184E"/>
    <w:rsid w:val="00991FD4"/>
    <w:rsid w:val="0099212E"/>
    <w:rsid w:val="0099218F"/>
    <w:rsid w:val="00992BAC"/>
    <w:rsid w:val="00993444"/>
    <w:rsid w:val="0099347F"/>
    <w:rsid w:val="00993773"/>
    <w:rsid w:val="0099395E"/>
    <w:rsid w:val="00993ADD"/>
    <w:rsid w:val="0099400D"/>
    <w:rsid w:val="00994025"/>
    <w:rsid w:val="00994723"/>
    <w:rsid w:val="00994D7B"/>
    <w:rsid w:val="009959A4"/>
    <w:rsid w:val="0099633A"/>
    <w:rsid w:val="00996659"/>
    <w:rsid w:val="00996AFC"/>
    <w:rsid w:val="00996D57"/>
    <w:rsid w:val="00997017"/>
    <w:rsid w:val="0099760C"/>
    <w:rsid w:val="009A003F"/>
    <w:rsid w:val="009A00A9"/>
    <w:rsid w:val="009A0412"/>
    <w:rsid w:val="009A0450"/>
    <w:rsid w:val="009A04D7"/>
    <w:rsid w:val="009A075E"/>
    <w:rsid w:val="009A0B2E"/>
    <w:rsid w:val="009A0B3A"/>
    <w:rsid w:val="009A0BA7"/>
    <w:rsid w:val="009A0F48"/>
    <w:rsid w:val="009A10A2"/>
    <w:rsid w:val="009A1211"/>
    <w:rsid w:val="009A14BD"/>
    <w:rsid w:val="009A15A7"/>
    <w:rsid w:val="009A17C7"/>
    <w:rsid w:val="009A17F0"/>
    <w:rsid w:val="009A1AFF"/>
    <w:rsid w:val="009A1CF4"/>
    <w:rsid w:val="009A1D89"/>
    <w:rsid w:val="009A259A"/>
    <w:rsid w:val="009A27D1"/>
    <w:rsid w:val="009A2A77"/>
    <w:rsid w:val="009A2C6B"/>
    <w:rsid w:val="009A2D4A"/>
    <w:rsid w:val="009A3D77"/>
    <w:rsid w:val="009A41B3"/>
    <w:rsid w:val="009A4AD3"/>
    <w:rsid w:val="009A52A3"/>
    <w:rsid w:val="009A52F2"/>
    <w:rsid w:val="009A5887"/>
    <w:rsid w:val="009A5F65"/>
    <w:rsid w:val="009A5F99"/>
    <w:rsid w:val="009A632B"/>
    <w:rsid w:val="009A6A23"/>
    <w:rsid w:val="009A6A63"/>
    <w:rsid w:val="009A6D8A"/>
    <w:rsid w:val="009A7341"/>
    <w:rsid w:val="009B016A"/>
    <w:rsid w:val="009B1313"/>
    <w:rsid w:val="009B1344"/>
    <w:rsid w:val="009B16F0"/>
    <w:rsid w:val="009B1D18"/>
    <w:rsid w:val="009B263B"/>
    <w:rsid w:val="009B29C6"/>
    <w:rsid w:val="009B2B1C"/>
    <w:rsid w:val="009B44E5"/>
    <w:rsid w:val="009B45F7"/>
    <w:rsid w:val="009B48C0"/>
    <w:rsid w:val="009B4A08"/>
    <w:rsid w:val="009B4DFE"/>
    <w:rsid w:val="009B5071"/>
    <w:rsid w:val="009B5173"/>
    <w:rsid w:val="009B53F8"/>
    <w:rsid w:val="009B5413"/>
    <w:rsid w:val="009B57C7"/>
    <w:rsid w:val="009B5941"/>
    <w:rsid w:val="009B5F3C"/>
    <w:rsid w:val="009B64EF"/>
    <w:rsid w:val="009B670A"/>
    <w:rsid w:val="009B68B7"/>
    <w:rsid w:val="009B69AB"/>
    <w:rsid w:val="009B69FE"/>
    <w:rsid w:val="009B6B6D"/>
    <w:rsid w:val="009B702C"/>
    <w:rsid w:val="009B7225"/>
    <w:rsid w:val="009B75A3"/>
    <w:rsid w:val="009B7B27"/>
    <w:rsid w:val="009C0346"/>
    <w:rsid w:val="009C054E"/>
    <w:rsid w:val="009C0615"/>
    <w:rsid w:val="009C06FC"/>
    <w:rsid w:val="009C0FC1"/>
    <w:rsid w:val="009C1105"/>
    <w:rsid w:val="009C11D3"/>
    <w:rsid w:val="009C14FD"/>
    <w:rsid w:val="009C15A2"/>
    <w:rsid w:val="009C17E3"/>
    <w:rsid w:val="009C1C98"/>
    <w:rsid w:val="009C1D09"/>
    <w:rsid w:val="009C1EC9"/>
    <w:rsid w:val="009C22B8"/>
    <w:rsid w:val="009C37CE"/>
    <w:rsid w:val="009C474B"/>
    <w:rsid w:val="009C54B5"/>
    <w:rsid w:val="009C6F6B"/>
    <w:rsid w:val="009C7105"/>
    <w:rsid w:val="009C7127"/>
    <w:rsid w:val="009C71CF"/>
    <w:rsid w:val="009D0293"/>
    <w:rsid w:val="009D066D"/>
    <w:rsid w:val="009D0838"/>
    <w:rsid w:val="009D0847"/>
    <w:rsid w:val="009D08DA"/>
    <w:rsid w:val="009D0C29"/>
    <w:rsid w:val="009D1230"/>
    <w:rsid w:val="009D142D"/>
    <w:rsid w:val="009D1663"/>
    <w:rsid w:val="009D175C"/>
    <w:rsid w:val="009D1904"/>
    <w:rsid w:val="009D1976"/>
    <w:rsid w:val="009D2041"/>
    <w:rsid w:val="009D212C"/>
    <w:rsid w:val="009D26F8"/>
    <w:rsid w:val="009D308E"/>
    <w:rsid w:val="009D3A08"/>
    <w:rsid w:val="009D40D1"/>
    <w:rsid w:val="009D43F2"/>
    <w:rsid w:val="009D4497"/>
    <w:rsid w:val="009D452C"/>
    <w:rsid w:val="009D484F"/>
    <w:rsid w:val="009D493F"/>
    <w:rsid w:val="009D49F7"/>
    <w:rsid w:val="009D5E2E"/>
    <w:rsid w:val="009D619D"/>
    <w:rsid w:val="009D6583"/>
    <w:rsid w:val="009D665E"/>
    <w:rsid w:val="009D6D54"/>
    <w:rsid w:val="009D6D91"/>
    <w:rsid w:val="009D6DE4"/>
    <w:rsid w:val="009D7100"/>
    <w:rsid w:val="009D71C7"/>
    <w:rsid w:val="009D72AF"/>
    <w:rsid w:val="009D7B57"/>
    <w:rsid w:val="009E038B"/>
    <w:rsid w:val="009E0706"/>
    <w:rsid w:val="009E0A80"/>
    <w:rsid w:val="009E0B8A"/>
    <w:rsid w:val="009E0FD6"/>
    <w:rsid w:val="009E0FDB"/>
    <w:rsid w:val="009E175F"/>
    <w:rsid w:val="009E1A6B"/>
    <w:rsid w:val="009E1B5B"/>
    <w:rsid w:val="009E263F"/>
    <w:rsid w:val="009E2803"/>
    <w:rsid w:val="009E2825"/>
    <w:rsid w:val="009E2FE5"/>
    <w:rsid w:val="009E38E3"/>
    <w:rsid w:val="009E3962"/>
    <w:rsid w:val="009E3F48"/>
    <w:rsid w:val="009E4619"/>
    <w:rsid w:val="009E527B"/>
    <w:rsid w:val="009E625C"/>
    <w:rsid w:val="009E6309"/>
    <w:rsid w:val="009E6B1C"/>
    <w:rsid w:val="009E6C87"/>
    <w:rsid w:val="009E6CFF"/>
    <w:rsid w:val="009E7FC5"/>
    <w:rsid w:val="009F02DB"/>
    <w:rsid w:val="009F1447"/>
    <w:rsid w:val="009F1501"/>
    <w:rsid w:val="009F1505"/>
    <w:rsid w:val="009F15F1"/>
    <w:rsid w:val="009F1B74"/>
    <w:rsid w:val="009F1E78"/>
    <w:rsid w:val="009F2C3B"/>
    <w:rsid w:val="009F37E2"/>
    <w:rsid w:val="009F3A9A"/>
    <w:rsid w:val="009F4335"/>
    <w:rsid w:val="009F4811"/>
    <w:rsid w:val="009F48CC"/>
    <w:rsid w:val="009F4A00"/>
    <w:rsid w:val="009F4C6F"/>
    <w:rsid w:val="009F4C99"/>
    <w:rsid w:val="009F5593"/>
    <w:rsid w:val="009F5D61"/>
    <w:rsid w:val="009F5EA0"/>
    <w:rsid w:val="009F6452"/>
    <w:rsid w:val="009F698D"/>
    <w:rsid w:val="009F73F1"/>
    <w:rsid w:val="009F7765"/>
    <w:rsid w:val="00A003F1"/>
    <w:rsid w:val="00A006A1"/>
    <w:rsid w:val="00A00B76"/>
    <w:rsid w:val="00A00C94"/>
    <w:rsid w:val="00A010DD"/>
    <w:rsid w:val="00A0138F"/>
    <w:rsid w:val="00A0191D"/>
    <w:rsid w:val="00A01A2C"/>
    <w:rsid w:val="00A01CC3"/>
    <w:rsid w:val="00A01EEB"/>
    <w:rsid w:val="00A0320C"/>
    <w:rsid w:val="00A03269"/>
    <w:rsid w:val="00A03765"/>
    <w:rsid w:val="00A03B11"/>
    <w:rsid w:val="00A04425"/>
    <w:rsid w:val="00A047C7"/>
    <w:rsid w:val="00A04826"/>
    <w:rsid w:val="00A0497E"/>
    <w:rsid w:val="00A04F1B"/>
    <w:rsid w:val="00A0535D"/>
    <w:rsid w:val="00A0537F"/>
    <w:rsid w:val="00A053A1"/>
    <w:rsid w:val="00A056D3"/>
    <w:rsid w:val="00A05F41"/>
    <w:rsid w:val="00A06117"/>
    <w:rsid w:val="00A0625E"/>
    <w:rsid w:val="00A06493"/>
    <w:rsid w:val="00A06729"/>
    <w:rsid w:val="00A067C0"/>
    <w:rsid w:val="00A07052"/>
    <w:rsid w:val="00A07217"/>
    <w:rsid w:val="00A073DA"/>
    <w:rsid w:val="00A07979"/>
    <w:rsid w:val="00A07E1E"/>
    <w:rsid w:val="00A07E92"/>
    <w:rsid w:val="00A100FD"/>
    <w:rsid w:val="00A108DC"/>
    <w:rsid w:val="00A1113E"/>
    <w:rsid w:val="00A11A60"/>
    <w:rsid w:val="00A11F7C"/>
    <w:rsid w:val="00A123B8"/>
    <w:rsid w:val="00A12929"/>
    <w:rsid w:val="00A13197"/>
    <w:rsid w:val="00A131F1"/>
    <w:rsid w:val="00A137A5"/>
    <w:rsid w:val="00A13B67"/>
    <w:rsid w:val="00A13C99"/>
    <w:rsid w:val="00A14101"/>
    <w:rsid w:val="00A145D7"/>
    <w:rsid w:val="00A1483B"/>
    <w:rsid w:val="00A14C8C"/>
    <w:rsid w:val="00A14C99"/>
    <w:rsid w:val="00A14ECC"/>
    <w:rsid w:val="00A14EF1"/>
    <w:rsid w:val="00A151FE"/>
    <w:rsid w:val="00A1537D"/>
    <w:rsid w:val="00A156AC"/>
    <w:rsid w:val="00A16295"/>
    <w:rsid w:val="00A167CB"/>
    <w:rsid w:val="00A168C1"/>
    <w:rsid w:val="00A178BF"/>
    <w:rsid w:val="00A179F4"/>
    <w:rsid w:val="00A17FEC"/>
    <w:rsid w:val="00A20413"/>
    <w:rsid w:val="00A204BF"/>
    <w:rsid w:val="00A20732"/>
    <w:rsid w:val="00A2084A"/>
    <w:rsid w:val="00A20CF3"/>
    <w:rsid w:val="00A20EED"/>
    <w:rsid w:val="00A21015"/>
    <w:rsid w:val="00A21016"/>
    <w:rsid w:val="00A2115C"/>
    <w:rsid w:val="00A2164B"/>
    <w:rsid w:val="00A21E86"/>
    <w:rsid w:val="00A21FE3"/>
    <w:rsid w:val="00A229B3"/>
    <w:rsid w:val="00A22E46"/>
    <w:rsid w:val="00A2312F"/>
    <w:rsid w:val="00A231D0"/>
    <w:rsid w:val="00A2363C"/>
    <w:rsid w:val="00A2398C"/>
    <w:rsid w:val="00A2401C"/>
    <w:rsid w:val="00A249F3"/>
    <w:rsid w:val="00A24E89"/>
    <w:rsid w:val="00A250C3"/>
    <w:rsid w:val="00A25204"/>
    <w:rsid w:val="00A254BF"/>
    <w:rsid w:val="00A25DF0"/>
    <w:rsid w:val="00A26106"/>
    <w:rsid w:val="00A2621B"/>
    <w:rsid w:val="00A275A7"/>
    <w:rsid w:val="00A278AD"/>
    <w:rsid w:val="00A27C75"/>
    <w:rsid w:val="00A30412"/>
    <w:rsid w:val="00A3055F"/>
    <w:rsid w:val="00A30F03"/>
    <w:rsid w:val="00A31184"/>
    <w:rsid w:val="00A31455"/>
    <w:rsid w:val="00A31A33"/>
    <w:rsid w:val="00A31CEA"/>
    <w:rsid w:val="00A3278A"/>
    <w:rsid w:val="00A327B3"/>
    <w:rsid w:val="00A329E6"/>
    <w:rsid w:val="00A332E5"/>
    <w:rsid w:val="00A3350C"/>
    <w:rsid w:val="00A33CFC"/>
    <w:rsid w:val="00A34179"/>
    <w:rsid w:val="00A3421F"/>
    <w:rsid w:val="00A349F0"/>
    <w:rsid w:val="00A34F59"/>
    <w:rsid w:val="00A35130"/>
    <w:rsid w:val="00A3515C"/>
    <w:rsid w:val="00A358CD"/>
    <w:rsid w:val="00A35949"/>
    <w:rsid w:val="00A35A77"/>
    <w:rsid w:val="00A35A8E"/>
    <w:rsid w:val="00A35BE2"/>
    <w:rsid w:val="00A35E2E"/>
    <w:rsid w:val="00A36534"/>
    <w:rsid w:val="00A36852"/>
    <w:rsid w:val="00A36EB4"/>
    <w:rsid w:val="00A37A69"/>
    <w:rsid w:val="00A37DD7"/>
    <w:rsid w:val="00A4066A"/>
    <w:rsid w:val="00A407FB"/>
    <w:rsid w:val="00A40AC3"/>
    <w:rsid w:val="00A40B0E"/>
    <w:rsid w:val="00A40C84"/>
    <w:rsid w:val="00A414AC"/>
    <w:rsid w:val="00A41A9B"/>
    <w:rsid w:val="00A41F82"/>
    <w:rsid w:val="00A420E8"/>
    <w:rsid w:val="00A4221C"/>
    <w:rsid w:val="00A42342"/>
    <w:rsid w:val="00A42A67"/>
    <w:rsid w:val="00A42B02"/>
    <w:rsid w:val="00A42B91"/>
    <w:rsid w:val="00A42D5E"/>
    <w:rsid w:val="00A42E68"/>
    <w:rsid w:val="00A43250"/>
    <w:rsid w:val="00A4378C"/>
    <w:rsid w:val="00A43845"/>
    <w:rsid w:val="00A43852"/>
    <w:rsid w:val="00A43ABB"/>
    <w:rsid w:val="00A4423F"/>
    <w:rsid w:val="00A444B0"/>
    <w:rsid w:val="00A44935"/>
    <w:rsid w:val="00A44971"/>
    <w:rsid w:val="00A45465"/>
    <w:rsid w:val="00A4610D"/>
    <w:rsid w:val="00A4682D"/>
    <w:rsid w:val="00A46B44"/>
    <w:rsid w:val="00A4716F"/>
    <w:rsid w:val="00A47677"/>
    <w:rsid w:val="00A47852"/>
    <w:rsid w:val="00A4790D"/>
    <w:rsid w:val="00A50077"/>
    <w:rsid w:val="00A5015E"/>
    <w:rsid w:val="00A50403"/>
    <w:rsid w:val="00A50720"/>
    <w:rsid w:val="00A5072D"/>
    <w:rsid w:val="00A50EDE"/>
    <w:rsid w:val="00A51243"/>
    <w:rsid w:val="00A513F6"/>
    <w:rsid w:val="00A51493"/>
    <w:rsid w:val="00A514A5"/>
    <w:rsid w:val="00A519C4"/>
    <w:rsid w:val="00A51FE3"/>
    <w:rsid w:val="00A51FF3"/>
    <w:rsid w:val="00A52088"/>
    <w:rsid w:val="00A5212A"/>
    <w:rsid w:val="00A52140"/>
    <w:rsid w:val="00A5223E"/>
    <w:rsid w:val="00A523B0"/>
    <w:rsid w:val="00A525FF"/>
    <w:rsid w:val="00A52862"/>
    <w:rsid w:val="00A53097"/>
    <w:rsid w:val="00A53519"/>
    <w:rsid w:val="00A53743"/>
    <w:rsid w:val="00A53E5C"/>
    <w:rsid w:val="00A53FDC"/>
    <w:rsid w:val="00A54101"/>
    <w:rsid w:val="00A547E7"/>
    <w:rsid w:val="00A557B7"/>
    <w:rsid w:val="00A5582B"/>
    <w:rsid w:val="00A55CFB"/>
    <w:rsid w:val="00A56A60"/>
    <w:rsid w:val="00A56E09"/>
    <w:rsid w:val="00A56FB9"/>
    <w:rsid w:val="00A5709B"/>
    <w:rsid w:val="00A5768E"/>
    <w:rsid w:val="00A60517"/>
    <w:rsid w:val="00A605FA"/>
    <w:rsid w:val="00A60CF0"/>
    <w:rsid w:val="00A618C7"/>
    <w:rsid w:val="00A619D2"/>
    <w:rsid w:val="00A62A6A"/>
    <w:rsid w:val="00A62F27"/>
    <w:rsid w:val="00A63529"/>
    <w:rsid w:val="00A63811"/>
    <w:rsid w:val="00A63F89"/>
    <w:rsid w:val="00A6430A"/>
    <w:rsid w:val="00A658CD"/>
    <w:rsid w:val="00A65D74"/>
    <w:rsid w:val="00A65EAE"/>
    <w:rsid w:val="00A65F8F"/>
    <w:rsid w:val="00A66630"/>
    <w:rsid w:val="00A66689"/>
    <w:rsid w:val="00A67C1D"/>
    <w:rsid w:val="00A70028"/>
    <w:rsid w:val="00A700D0"/>
    <w:rsid w:val="00A709D9"/>
    <w:rsid w:val="00A70F65"/>
    <w:rsid w:val="00A71132"/>
    <w:rsid w:val="00A7139C"/>
    <w:rsid w:val="00A71CB4"/>
    <w:rsid w:val="00A71D7A"/>
    <w:rsid w:val="00A72086"/>
    <w:rsid w:val="00A721E1"/>
    <w:rsid w:val="00A7274D"/>
    <w:rsid w:val="00A72BBE"/>
    <w:rsid w:val="00A73351"/>
    <w:rsid w:val="00A733CA"/>
    <w:rsid w:val="00A73653"/>
    <w:rsid w:val="00A73A1D"/>
    <w:rsid w:val="00A73D6F"/>
    <w:rsid w:val="00A74204"/>
    <w:rsid w:val="00A745DD"/>
    <w:rsid w:val="00A748F0"/>
    <w:rsid w:val="00A74FF0"/>
    <w:rsid w:val="00A75384"/>
    <w:rsid w:val="00A7540B"/>
    <w:rsid w:val="00A76308"/>
    <w:rsid w:val="00A76724"/>
    <w:rsid w:val="00A77002"/>
    <w:rsid w:val="00A77567"/>
    <w:rsid w:val="00A7770C"/>
    <w:rsid w:val="00A77A5D"/>
    <w:rsid w:val="00A80288"/>
    <w:rsid w:val="00A80396"/>
    <w:rsid w:val="00A80FB1"/>
    <w:rsid w:val="00A81178"/>
    <w:rsid w:val="00A818DA"/>
    <w:rsid w:val="00A81AB8"/>
    <w:rsid w:val="00A821F6"/>
    <w:rsid w:val="00A822DC"/>
    <w:rsid w:val="00A823F1"/>
    <w:rsid w:val="00A83214"/>
    <w:rsid w:val="00A83373"/>
    <w:rsid w:val="00A8359E"/>
    <w:rsid w:val="00A838EC"/>
    <w:rsid w:val="00A84730"/>
    <w:rsid w:val="00A849A2"/>
    <w:rsid w:val="00A84C60"/>
    <w:rsid w:val="00A85517"/>
    <w:rsid w:val="00A85B62"/>
    <w:rsid w:val="00A864A1"/>
    <w:rsid w:val="00A8655D"/>
    <w:rsid w:val="00A8660E"/>
    <w:rsid w:val="00A86660"/>
    <w:rsid w:val="00A86793"/>
    <w:rsid w:val="00A86C97"/>
    <w:rsid w:val="00A87754"/>
    <w:rsid w:val="00A901DA"/>
    <w:rsid w:val="00A90386"/>
    <w:rsid w:val="00A907D9"/>
    <w:rsid w:val="00A90C5F"/>
    <w:rsid w:val="00A90CA9"/>
    <w:rsid w:val="00A90CB8"/>
    <w:rsid w:val="00A90F8A"/>
    <w:rsid w:val="00A912C0"/>
    <w:rsid w:val="00A91CB6"/>
    <w:rsid w:val="00A91DB8"/>
    <w:rsid w:val="00A920D5"/>
    <w:rsid w:val="00A92738"/>
    <w:rsid w:val="00A928B9"/>
    <w:rsid w:val="00A937BE"/>
    <w:rsid w:val="00A93A94"/>
    <w:rsid w:val="00A93B34"/>
    <w:rsid w:val="00A93C53"/>
    <w:rsid w:val="00A93DA2"/>
    <w:rsid w:val="00A93EA1"/>
    <w:rsid w:val="00A94D85"/>
    <w:rsid w:val="00A95561"/>
    <w:rsid w:val="00A9597F"/>
    <w:rsid w:val="00A9687A"/>
    <w:rsid w:val="00A96CAB"/>
    <w:rsid w:val="00A96E3F"/>
    <w:rsid w:val="00A96E47"/>
    <w:rsid w:val="00A9730B"/>
    <w:rsid w:val="00A97539"/>
    <w:rsid w:val="00A977F0"/>
    <w:rsid w:val="00AA0085"/>
    <w:rsid w:val="00AA1442"/>
    <w:rsid w:val="00AA1455"/>
    <w:rsid w:val="00AA1ADB"/>
    <w:rsid w:val="00AA1D0E"/>
    <w:rsid w:val="00AA2107"/>
    <w:rsid w:val="00AA27D5"/>
    <w:rsid w:val="00AA2B9A"/>
    <w:rsid w:val="00AA2BC6"/>
    <w:rsid w:val="00AA30A2"/>
    <w:rsid w:val="00AA35AD"/>
    <w:rsid w:val="00AA35E0"/>
    <w:rsid w:val="00AA4533"/>
    <w:rsid w:val="00AA49E5"/>
    <w:rsid w:val="00AA4FDB"/>
    <w:rsid w:val="00AA51ED"/>
    <w:rsid w:val="00AA53D7"/>
    <w:rsid w:val="00AA56BC"/>
    <w:rsid w:val="00AA56C5"/>
    <w:rsid w:val="00AA5AC1"/>
    <w:rsid w:val="00AA66EF"/>
    <w:rsid w:val="00AA687A"/>
    <w:rsid w:val="00AA7015"/>
    <w:rsid w:val="00AA73C6"/>
    <w:rsid w:val="00AA7480"/>
    <w:rsid w:val="00AA7851"/>
    <w:rsid w:val="00AA79E5"/>
    <w:rsid w:val="00AB07DB"/>
    <w:rsid w:val="00AB1DE4"/>
    <w:rsid w:val="00AB231A"/>
    <w:rsid w:val="00AB2FC6"/>
    <w:rsid w:val="00AB347E"/>
    <w:rsid w:val="00AB3687"/>
    <w:rsid w:val="00AB40E3"/>
    <w:rsid w:val="00AB413E"/>
    <w:rsid w:val="00AB4478"/>
    <w:rsid w:val="00AB476A"/>
    <w:rsid w:val="00AB5251"/>
    <w:rsid w:val="00AB55D2"/>
    <w:rsid w:val="00AB5982"/>
    <w:rsid w:val="00AB5A06"/>
    <w:rsid w:val="00AB5B4A"/>
    <w:rsid w:val="00AB6C0F"/>
    <w:rsid w:val="00AB7D3C"/>
    <w:rsid w:val="00AC02D6"/>
    <w:rsid w:val="00AC0888"/>
    <w:rsid w:val="00AC0DBA"/>
    <w:rsid w:val="00AC12C5"/>
    <w:rsid w:val="00AC179B"/>
    <w:rsid w:val="00AC21B3"/>
    <w:rsid w:val="00AC2376"/>
    <w:rsid w:val="00AC2D83"/>
    <w:rsid w:val="00AC3952"/>
    <w:rsid w:val="00AC3C21"/>
    <w:rsid w:val="00AC41FE"/>
    <w:rsid w:val="00AC4306"/>
    <w:rsid w:val="00AC48FC"/>
    <w:rsid w:val="00AC4A55"/>
    <w:rsid w:val="00AC4C0B"/>
    <w:rsid w:val="00AC4F7C"/>
    <w:rsid w:val="00AC5FA5"/>
    <w:rsid w:val="00AC611D"/>
    <w:rsid w:val="00AC618E"/>
    <w:rsid w:val="00AC635E"/>
    <w:rsid w:val="00AC6991"/>
    <w:rsid w:val="00AC6AAA"/>
    <w:rsid w:val="00AC6C68"/>
    <w:rsid w:val="00AC70B6"/>
    <w:rsid w:val="00AC7841"/>
    <w:rsid w:val="00AC78B0"/>
    <w:rsid w:val="00AC78FB"/>
    <w:rsid w:val="00AC7B0F"/>
    <w:rsid w:val="00AD04E9"/>
    <w:rsid w:val="00AD0788"/>
    <w:rsid w:val="00AD0D47"/>
    <w:rsid w:val="00AD10E0"/>
    <w:rsid w:val="00AD14A2"/>
    <w:rsid w:val="00AD1C2B"/>
    <w:rsid w:val="00AD1F58"/>
    <w:rsid w:val="00AD201B"/>
    <w:rsid w:val="00AD2136"/>
    <w:rsid w:val="00AD2BA2"/>
    <w:rsid w:val="00AD3403"/>
    <w:rsid w:val="00AD3439"/>
    <w:rsid w:val="00AD4664"/>
    <w:rsid w:val="00AD4719"/>
    <w:rsid w:val="00AD4E52"/>
    <w:rsid w:val="00AD4F0E"/>
    <w:rsid w:val="00AD5C67"/>
    <w:rsid w:val="00AD638F"/>
    <w:rsid w:val="00AD6C5F"/>
    <w:rsid w:val="00AD7EEE"/>
    <w:rsid w:val="00AE159C"/>
    <w:rsid w:val="00AE167B"/>
    <w:rsid w:val="00AE18DD"/>
    <w:rsid w:val="00AE1A39"/>
    <w:rsid w:val="00AE1A4A"/>
    <w:rsid w:val="00AE247A"/>
    <w:rsid w:val="00AE25FC"/>
    <w:rsid w:val="00AE457D"/>
    <w:rsid w:val="00AE486A"/>
    <w:rsid w:val="00AE49F9"/>
    <w:rsid w:val="00AE4A5D"/>
    <w:rsid w:val="00AE4BAA"/>
    <w:rsid w:val="00AE503A"/>
    <w:rsid w:val="00AE53B1"/>
    <w:rsid w:val="00AE5F87"/>
    <w:rsid w:val="00AE65E9"/>
    <w:rsid w:val="00AE72F1"/>
    <w:rsid w:val="00AE79FA"/>
    <w:rsid w:val="00AE7A4F"/>
    <w:rsid w:val="00AE7AA7"/>
    <w:rsid w:val="00AE7B23"/>
    <w:rsid w:val="00AF0300"/>
    <w:rsid w:val="00AF04D6"/>
    <w:rsid w:val="00AF09DE"/>
    <w:rsid w:val="00AF0C56"/>
    <w:rsid w:val="00AF1B17"/>
    <w:rsid w:val="00AF2575"/>
    <w:rsid w:val="00AF2602"/>
    <w:rsid w:val="00AF2AF2"/>
    <w:rsid w:val="00AF2E80"/>
    <w:rsid w:val="00AF3E21"/>
    <w:rsid w:val="00AF3E72"/>
    <w:rsid w:val="00AF41BF"/>
    <w:rsid w:val="00AF435E"/>
    <w:rsid w:val="00AF4457"/>
    <w:rsid w:val="00AF4F1C"/>
    <w:rsid w:val="00AF533B"/>
    <w:rsid w:val="00AF59C7"/>
    <w:rsid w:val="00AF5F57"/>
    <w:rsid w:val="00AF7797"/>
    <w:rsid w:val="00AF7864"/>
    <w:rsid w:val="00B00127"/>
    <w:rsid w:val="00B0035F"/>
    <w:rsid w:val="00B00CD0"/>
    <w:rsid w:val="00B01369"/>
    <w:rsid w:val="00B01C3A"/>
    <w:rsid w:val="00B01F40"/>
    <w:rsid w:val="00B01F8F"/>
    <w:rsid w:val="00B0248D"/>
    <w:rsid w:val="00B027B4"/>
    <w:rsid w:val="00B02B9B"/>
    <w:rsid w:val="00B03412"/>
    <w:rsid w:val="00B03F79"/>
    <w:rsid w:val="00B040A7"/>
    <w:rsid w:val="00B04663"/>
    <w:rsid w:val="00B04901"/>
    <w:rsid w:val="00B0513D"/>
    <w:rsid w:val="00B0561F"/>
    <w:rsid w:val="00B05B8E"/>
    <w:rsid w:val="00B05E2D"/>
    <w:rsid w:val="00B05F6F"/>
    <w:rsid w:val="00B06AA3"/>
    <w:rsid w:val="00B07361"/>
    <w:rsid w:val="00B073DC"/>
    <w:rsid w:val="00B07931"/>
    <w:rsid w:val="00B1004E"/>
    <w:rsid w:val="00B100F7"/>
    <w:rsid w:val="00B108B4"/>
    <w:rsid w:val="00B114CE"/>
    <w:rsid w:val="00B11605"/>
    <w:rsid w:val="00B13752"/>
    <w:rsid w:val="00B13A9B"/>
    <w:rsid w:val="00B1407D"/>
    <w:rsid w:val="00B14230"/>
    <w:rsid w:val="00B142DD"/>
    <w:rsid w:val="00B14908"/>
    <w:rsid w:val="00B150D7"/>
    <w:rsid w:val="00B15CE2"/>
    <w:rsid w:val="00B15DBF"/>
    <w:rsid w:val="00B16462"/>
    <w:rsid w:val="00B1687A"/>
    <w:rsid w:val="00B16CDC"/>
    <w:rsid w:val="00B16DAB"/>
    <w:rsid w:val="00B175FF"/>
    <w:rsid w:val="00B176E7"/>
    <w:rsid w:val="00B1790E"/>
    <w:rsid w:val="00B17ACB"/>
    <w:rsid w:val="00B202A2"/>
    <w:rsid w:val="00B20685"/>
    <w:rsid w:val="00B2074F"/>
    <w:rsid w:val="00B216EB"/>
    <w:rsid w:val="00B222A3"/>
    <w:rsid w:val="00B2260E"/>
    <w:rsid w:val="00B231CB"/>
    <w:rsid w:val="00B235E3"/>
    <w:rsid w:val="00B2377F"/>
    <w:rsid w:val="00B2429A"/>
    <w:rsid w:val="00B247A4"/>
    <w:rsid w:val="00B25274"/>
    <w:rsid w:val="00B25368"/>
    <w:rsid w:val="00B25A0F"/>
    <w:rsid w:val="00B25F61"/>
    <w:rsid w:val="00B26295"/>
    <w:rsid w:val="00B265A8"/>
    <w:rsid w:val="00B26D5D"/>
    <w:rsid w:val="00B26F15"/>
    <w:rsid w:val="00B26FDC"/>
    <w:rsid w:val="00B270A7"/>
    <w:rsid w:val="00B27523"/>
    <w:rsid w:val="00B27AB0"/>
    <w:rsid w:val="00B3004D"/>
    <w:rsid w:val="00B30FA2"/>
    <w:rsid w:val="00B312B1"/>
    <w:rsid w:val="00B31648"/>
    <w:rsid w:val="00B31672"/>
    <w:rsid w:val="00B320E8"/>
    <w:rsid w:val="00B323F0"/>
    <w:rsid w:val="00B32E97"/>
    <w:rsid w:val="00B3371D"/>
    <w:rsid w:val="00B33890"/>
    <w:rsid w:val="00B343B7"/>
    <w:rsid w:val="00B345EA"/>
    <w:rsid w:val="00B3571B"/>
    <w:rsid w:val="00B361D4"/>
    <w:rsid w:val="00B369BE"/>
    <w:rsid w:val="00B37347"/>
    <w:rsid w:val="00B37831"/>
    <w:rsid w:val="00B37C6A"/>
    <w:rsid w:val="00B4000C"/>
    <w:rsid w:val="00B40028"/>
    <w:rsid w:val="00B4006C"/>
    <w:rsid w:val="00B4034F"/>
    <w:rsid w:val="00B4047F"/>
    <w:rsid w:val="00B40B20"/>
    <w:rsid w:val="00B41051"/>
    <w:rsid w:val="00B41E00"/>
    <w:rsid w:val="00B42707"/>
    <w:rsid w:val="00B428C4"/>
    <w:rsid w:val="00B4367D"/>
    <w:rsid w:val="00B43BD0"/>
    <w:rsid w:val="00B4407D"/>
    <w:rsid w:val="00B4413D"/>
    <w:rsid w:val="00B442ED"/>
    <w:rsid w:val="00B44552"/>
    <w:rsid w:val="00B449BE"/>
    <w:rsid w:val="00B44A32"/>
    <w:rsid w:val="00B44B0D"/>
    <w:rsid w:val="00B44D1A"/>
    <w:rsid w:val="00B44E35"/>
    <w:rsid w:val="00B463D1"/>
    <w:rsid w:val="00B464DF"/>
    <w:rsid w:val="00B46AFC"/>
    <w:rsid w:val="00B46BD6"/>
    <w:rsid w:val="00B46D67"/>
    <w:rsid w:val="00B46D86"/>
    <w:rsid w:val="00B479A5"/>
    <w:rsid w:val="00B47A26"/>
    <w:rsid w:val="00B47F3A"/>
    <w:rsid w:val="00B47FC6"/>
    <w:rsid w:val="00B47FE8"/>
    <w:rsid w:val="00B50068"/>
    <w:rsid w:val="00B500BB"/>
    <w:rsid w:val="00B504F4"/>
    <w:rsid w:val="00B51078"/>
    <w:rsid w:val="00B51203"/>
    <w:rsid w:val="00B5353F"/>
    <w:rsid w:val="00B53770"/>
    <w:rsid w:val="00B5392A"/>
    <w:rsid w:val="00B539F0"/>
    <w:rsid w:val="00B53B88"/>
    <w:rsid w:val="00B53DAD"/>
    <w:rsid w:val="00B54976"/>
    <w:rsid w:val="00B54F5C"/>
    <w:rsid w:val="00B55042"/>
    <w:rsid w:val="00B55A50"/>
    <w:rsid w:val="00B55BB3"/>
    <w:rsid w:val="00B55C4A"/>
    <w:rsid w:val="00B5732E"/>
    <w:rsid w:val="00B6025A"/>
    <w:rsid w:val="00B606FB"/>
    <w:rsid w:val="00B607EC"/>
    <w:rsid w:val="00B60842"/>
    <w:rsid w:val="00B61690"/>
    <w:rsid w:val="00B6178A"/>
    <w:rsid w:val="00B6178E"/>
    <w:rsid w:val="00B62026"/>
    <w:rsid w:val="00B62030"/>
    <w:rsid w:val="00B623AB"/>
    <w:rsid w:val="00B6246D"/>
    <w:rsid w:val="00B63098"/>
    <w:rsid w:val="00B63666"/>
    <w:rsid w:val="00B63676"/>
    <w:rsid w:val="00B63ADC"/>
    <w:rsid w:val="00B64392"/>
    <w:rsid w:val="00B6454D"/>
    <w:rsid w:val="00B64832"/>
    <w:rsid w:val="00B6489C"/>
    <w:rsid w:val="00B649D3"/>
    <w:rsid w:val="00B64E85"/>
    <w:rsid w:val="00B65A85"/>
    <w:rsid w:val="00B66848"/>
    <w:rsid w:val="00B66908"/>
    <w:rsid w:val="00B6696C"/>
    <w:rsid w:val="00B6699D"/>
    <w:rsid w:val="00B66CBF"/>
    <w:rsid w:val="00B671CE"/>
    <w:rsid w:val="00B676C2"/>
    <w:rsid w:val="00B677A8"/>
    <w:rsid w:val="00B6789C"/>
    <w:rsid w:val="00B67EBE"/>
    <w:rsid w:val="00B708EA"/>
    <w:rsid w:val="00B70A5C"/>
    <w:rsid w:val="00B7113F"/>
    <w:rsid w:val="00B7131D"/>
    <w:rsid w:val="00B71874"/>
    <w:rsid w:val="00B7189A"/>
    <w:rsid w:val="00B720EE"/>
    <w:rsid w:val="00B720F9"/>
    <w:rsid w:val="00B7238B"/>
    <w:rsid w:val="00B732C5"/>
    <w:rsid w:val="00B73554"/>
    <w:rsid w:val="00B742AC"/>
    <w:rsid w:val="00B743A1"/>
    <w:rsid w:val="00B749E1"/>
    <w:rsid w:val="00B74BB8"/>
    <w:rsid w:val="00B75401"/>
    <w:rsid w:val="00B7544D"/>
    <w:rsid w:val="00B7552C"/>
    <w:rsid w:val="00B75C0F"/>
    <w:rsid w:val="00B75ED0"/>
    <w:rsid w:val="00B76570"/>
    <w:rsid w:val="00B77070"/>
    <w:rsid w:val="00B77997"/>
    <w:rsid w:val="00B8007E"/>
    <w:rsid w:val="00B80362"/>
    <w:rsid w:val="00B80C96"/>
    <w:rsid w:val="00B81A2D"/>
    <w:rsid w:val="00B81A65"/>
    <w:rsid w:val="00B81BD6"/>
    <w:rsid w:val="00B82427"/>
    <w:rsid w:val="00B826C6"/>
    <w:rsid w:val="00B84497"/>
    <w:rsid w:val="00B844E8"/>
    <w:rsid w:val="00B84B17"/>
    <w:rsid w:val="00B84DA0"/>
    <w:rsid w:val="00B84E72"/>
    <w:rsid w:val="00B85775"/>
    <w:rsid w:val="00B858DF"/>
    <w:rsid w:val="00B863D6"/>
    <w:rsid w:val="00B867D7"/>
    <w:rsid w:val="00B8752C"/>
    <w:rsid w:val="00B87B49"/>
    <w:rsid w:val="00B87C19"/>
    <w:rsid w:val="00B9071F"/>
    <w:rsid w:val="00B90887"/>
    <w:rsid w:val="00B90A67"/>
    <w:rsid w:val="00B90B5F"/>
    <w:rsid w:val="00B90E01"/>
    <w:rsid w:val="00B9144A"/>
    <w:rsid w:val="00B91552"/>
    <w:rsid w:val="00B91570"/>
    <w:rsid w:val="00B91B70"/>
    <w:rsid w:val="00B91CED"/>
    <w:rsid w:val="00B91DC1"/>
    <w:rsid w:val="00B91E88"/>
    <w:rsid w:val="00B92506"/>
    <w:rsid w:val="00B9276E"/>
    <w:rsid w:val="00B927E1"/>
    <w:rsid w:val="00B930D1"/>
    <w:rsid w:val="00B93404"/>
    <w:rsid w:val="00B937DF"/>
    <w:rsid w:val="00B93CBB"/>
    <w:rsid w:val="00B94337"/>
    <w:rsid w:val="00B9471A"/>
    <w:rsid w:val="00B94FE2"/>
    <w:rsid w:val="00B9514D"/>
    <w:rsid w:val="00B954A7"/>
    <w:rsid w:val="00B95B27"/>
    <w:rsid w:val="00B95D02"/>
    <w:rsid w:val="00B964D1"/>
    <w:rsid w:val="00B966C0"/>
    <w:rsid w:val="00B96E76"/>
    <w:rsid w:val="00B97143"/>
    <w:rsid w:val="00B9783D"/>
    <w:rsid w:val="00B97F3F"/>
    <w:rsid w:val="00BA08FA"/>
    <w:rsid w:val="00BA0CE2"/>
    <w:rsid w:val="00BA10BD"/>
    <w:rsid w:val="00BA10D0"/>
    <w:rsid w:val="00BA1714"/>
    <w:rsid w:val="00BA174F"/>
    <w:rsid w:val="00BA1A15"/>
    <w:rsid w:val="00BA2AE8"/>
    <w:rsid w:val="00BA2C35"/>
    <w:rsid w:val="00BA30DD"/>
    <w:rsid w:val="00BA3441"/>
    <w:rsid w:val="00BA38CF"/>
    <w:rsid w:val="00BA4056"/>
    <w:rsid w:val="00BA40A3"/>
    <w:rsid w:val="00BA48B7"/>
    <w:rsid w:val="00BA4903"/>
    <w:rsid w:val="00BA4909"/>
    <w:rsid w:val="00BA55EC"/>
    <w:rsid w:val="00BA5805"/>
    <w:rsid w:val="00BA5C5C"/>
    <w:rsid w:val="00BA5E37"/>
    <w:rsid w:val="00BA652A"/>
    <w:rsid w:val="00BA6C34"/>
    <w:rsid w:val="00BA7538"/>
    <w:rsid w:val="00BA773A"/>
    <w:rsid w:val="00BA7764"/>
    <w:rsid w:val="00BB0706"/>
    <w:rsid w:val="00BB10B9"/>
    <w:rsid w:val="00BB16D4"/>
    <w:rsid w:val="00BB1CA4"/>
    <w:rsid w:val="00BB204D"/>
    <w:rsid w:val="00BB250E"/>
    <w:rsid w:val="00BB265F"/>
    <w:rsid w:val="00BB27F8"/>
    <w:rsid w:val="00BB28F5"/>
    <w:rsid w:val="00BB3241"/>
    <w:rsid w:val="00BB36B1"/>
    <w:rsid w:val="00BB3D3B"/>
    <w:rsid w:val="00BB41D4"/>
    <w:rsid w:val="00BB41E9"/>
    <w:rsid w:val="00BB4AAD"/>
    <w:rsid w:val="00BB5628"/>
    <w:rsid w:val="00BB5E3E"/>
    <w:rsid w:val="00BB62F0"/>
    <w:rsid w:val="00BB71E4"/>
    <w:rsid w:val="00BB753D"/>
    <w:rsid w:val="00BB78BF"/>
    <w:rsid w:val="00BB7B9B"/>
    <w:rsid w:val="00BB7DF8"/>
    <w:rsid w:val="00BB7E8E"/>
    <w:rsid w:val="00BC11A3"/>
    <w:rsid w:val="00BC1445"/>
    <w:rsid w:val="00BC1676"/>
    <w:rsid w:val="00BC1E7C"/>
    <w:rsid w:val="00BC1E97"/>
    <w:rsid w:val="00BC1F5D"/>
    <w:rsid w:val="00BC20F8"/>
    <w:rsid w:val="00BC259A"/>
    <w:rsid w:val="00BC2A0C"/>
    <w:rsid w:val="00BC30EA"/>
    <w:rsid w:val="00BC332F"/>
    <w:rsid w:val="00BC3AA2"/>
    <w:rsid w:val="00BC40ED"/>
    <w:rsid w:val="00BC44D9"/>
    <w:rsid w:val="00BC46C0"/>
    <w:rsid w:val="00BC4BF3"/>
    <w:rsid w:val="00BC4F02"/>
    <w:rsid w:val="00BC5208"/>
    <w:rsid w:val="00BC52F6"/>
    <w:rsid w:val="00BC52F9"/>
    <w:rsid w:val="00BC55C5"/>
    <w:rsid w:val="00BC5D79"/>
    <w:rsid w:val="00BC5F5E"/>
    <w:rsid w:val="00BC60E3"/>
    <w:rsid w:val="00BC61C6"/>
    <w:rsid w:val="00BC6664"/>
    <w:rsid w:val="00BC66B6"/>
    <w:rsid w:val="00BC6B6C"/>
    <w:rsid w:val="00BD099B"/>
    <w:rsid w:val="00BD0C6E"/>
    <w:rsid w:val="00BD108D"/>
    <w:rsid w:val="00BD1213"/>
    <w:rsid w:val="00BD3194"/>
    <w:rsid w:val="00BD376C"/>
    <w:rsid w:val="00BD3984"/>
    <w:rsid w:val="00BD3A59"/>
    <w:rsid w:val="00BD3BCE"/>
    <w:rsid w:val="00BD3F70"/>
    <w:rsid w:val="00BD3F7D"/>
    <w:rsid w:val="00BD4150"/>
    <w:rsid w:val="00BD44E8"/>
    <w:rsid w:val="00BD45AB"/>
    <w:rsid w:val="00BD4A2D"/>
    <w:rsid w:val="00BD4A5E"/>
    <w:rsid w:val="00BD535E"/>
    <w:rsid w:val="00BD57A6"/>
    <w:rsid w:val="00BD5D8F"/>
    <w:rsid w:val="00BD604C"/>
    <w:rsid w:val="00BD6215"/>
    <w:rsid w:val="00BD6488"/>
    <w:rsid w:val="00BD6685"/>
    <w:rsid w:val="00BD6E3D"/>
    <w:rsid w:val="00BD77AC"/>
    <w:rsid w:val="00BD7A47"/>
    <w:rsid w:val="00BD7F47"/>
    <w:rsid w:val="00BE0042"/>
    <w:rsid w:val="00BE0046"/>
    <w:rsid w:val="00BE044D"/>
    <w:rsid w:val="00BE0A13"/>
    <w:rsid w:val="00BE10CD"/>
    <w:rsid w:val="00BE21EC"/>
    <w:rsid w:val="00BE2586"/>
    <w:rsid w:val="00BE27A8"/>
    <w:rsid w:val="00BE2BCE"/>
    <w:rsid w:val="00BE31C9"/>
    <w:rsid w:val="00BE3304"/>
    <w:rsid w:val="00BE3462"/>
    <w:rsid w:val="00BE363B"/>
    <w:rsid w:val="00BE3CCF"/>
    <w:rsid w:val="00BE3DF7"/>
    <w:rsid w:val="00BE46D9"/>
    <w:rsid w:val="00BE477E"/>
    <w:rsid w:val="00BE4EA4"/>
    <w:rsid w:val="00BE5078"/>
    <w:rsid w:val="00BE5C94"/>
    <w:rsid w:val="00BE5E41"/>
    <w:rsid w:val="00BE69DC"/>
    <w:rsid w:val="00BE6D36"/>
    <w:rsid w:val="00BE7976"/>
    <w:rsid w:val="00BE7D03"/>
    <w:rsid w:val="00BE7E28"/>
    <w:rsid w:val="00BE7EA2"/>
    <w:rsid w:val="00BE7F67"/>
    <w:rsid w:val="00BE7FE8"/>
    <w:rsid w:val="00BF0642"/>
    <w:rsid w:val="00BF1092"/>
    <w:rsid w:val="00BF13E3"/>
    <w:rsid w:val="00BF18C3"/>
    <w:rsid w:val="00BF1D48"/>
    <w:rsid w:val="00BF22D7"/>
    <w:rsid w:val="00BF2E75"/>
    <w:rsid w:val="00BF3CDC"/>
    <w:rsid w:val="00BF3D3E"/>
    <w:rsid w:val="00BF4790"/>
    <w:rsid w:val="00BF56DA"/>
    <w:rsid w:val="00BF5796"/>
    <w:rsid w:val="00BF5938"/>
    <w:rsid w:val="00BF5EB1"/>
    <w:rsid w:val="00BF62E1"/>
    <w:rsid w:val="00BF63D2"/>
    <w:rsid w:val="00BF65E7"/>
    <w:rsid w:val="00BF67A8"/>
    <w:rsid w:val="00BF6930"/>
    <w:rsid w:val="00BF6D6E"/>
    <w:rsid w:val="00BF6DEE"/>
    <w:rsid w:val="00BF6E2A"/>
    <w:rsid w:val="00BF7717"/>
    <w:rsid w:val="00BF7A41"/>
    <w:rsid w:val="00BF7BBA"/>
    <w:rsid w:val="00BF7FB0"/>
    <w:rsid w:val="00C00922"/>
    <w:rsid w:val="00C00E9E"/>
    <w:rsid w:val="00C012BD"/>
    <w:rsid w:val="00C01D9D"/>
    <w:rsid w:val="00C02029"/>
    <w:rsid w:val="00C026DD"/>
    <w:rsid w:val="00C028F8"/>
    <w:rsid w:val="00C02ACF"/>
    <w:rsid w:val="00C032F2"/>
    <w:rsid w:val="00C03409"/>
    <w:rsid w:val="00C03831"/>
    <w:rsid w:val="00C0427B"/>
    <w:rsid w:val="00C044F3"/>
    <w:rsid w:val="00C04EB6"/>
    <w:rsid w:val="00C05212"/>
    <w:rsid w:val="00C05AA9"/>
    <w:rsid w:val="00C05BD8"/>
    <w:rsid w:val="00C05FA6"/>
    <w:rsid w:val="00C06C3E"/>
    <w:rsid w:val="00C06DA5"/>
    <w:rsid w:val="00C07681"/>
    <w:rsid w:val="00C07B90"/>
    <w:rsid w:val="00C07C0E"/>
    <w:rsid w:val="00C07C3A"/>
    <w:rsid w:val="00C07DB4"/>
    <w:rsid w:val="00C07E41"/>
    <w:rsid w:val="00C1016F"/>
    <w:rsid w:val="00C10458"/>
    <w:rsid w:val="00C105EC"/>
    <w:rsid w:val="00C10A3F"/>
    <w:rsid w:val="00C10BB9"/>
    <w:rsid w:val="00C11006"/>
    <w:rsid w:val="00C112DF"/>
    <w:rsid w:val="00C114E0"/>
    <w:rsid w:val="00C118C0"/>
    <w:rsid w:val="00C118DE"/>
    <w:rsid w:val="00C11AE9"/>
    <w:rsid w:val="00C1210A"/>
    <w:rsid w:val="00C126CF"/>
    <w:rsid w:val="00C129EF"/>
    <w:rsid w:val="00C12A3D"/>
    <w:rsid w:val="00C1395B"/>
    <w:rsid w:val="00C13986"/>
    <w:rsid w:val="00C13CB1"/>
    <w:rsid w:val="00C13D00"/>
    <w:rsid w:val="00C141B1"/>
    <w:rsid w:val="00C147B4"/>
    <w:rsid w:val="00C15061"/>
    <w:rsid w:val="00C15A61"/>
    <w:rsid w:val="00C15D13"/>
    <w:rsid w:val="00C15FFE"/>
    <w:rsid w:val="00C16BB8"/>
    <w:rsid w:val="00C16C02"/>
    <w:rsid w:val="00C174F4"/>
    <w:rsid w:val="00C17552"/>
    <w:rsid w:val="00C17C30"/>
    <w:rsid w:val="00C2017C"/>
    <w:rsid w:val="00C2022C"/>
    <w:rsid w:val="00C20C3D"/>
    <w:rsid w:val="00C218E7"/>
    <w:rsid w:val="00C219F5"/>
    <w:rsid w:val="00C21B02"/>
    <w:rsid w:val="00C2287F"/>
    <w:rsid w:val="00C22C3A"/>
    <w:rsid w:val="00C22DCE"/>
    <w:rsid w:val="00C239F5"/>
    <w:rsid w:val="00C249A5"/>
    <w:rsid w:val="00C25089"/>
    <w:rsid w:val="00C25E1F"/>
    <w:rsid w:val="00C261B4"/>
    <w:rsid w:val="00C26EE0"/>
    <w:rsid w:val="00C270C0"/>
    <w:rsid w:val="00C2737C"/>
    <w:rsid w:val="00C275A8"/>
    <w:rsid w:val="00C27E47"/>
    <w:rsid w:val="00C3036E"/>
    <w:rsid w:val="00C3038C"/>
    <w:rsid w:val="00C30F6C"/>
    <w:rsid w:val="00C310A6"/>
    <w:rsid w:val="00C310DD"/>
    <w:rsid w:val="00C3121D"/>
    <w:rsid w:val="00C31273"/>
    <w:rsid w:val="00C31AA3"/>
    <w:rsid w:val="00C32655"/>
    <w:rsid w:val="00C32B90"/>
    <w:rsid w:val="00C32FBF"/>
    <w:rsid w:val="00C33123"/>
    <w:rsid w:val="00C331C2"/>
    <w:rsid w:val="00C33756"/>
    <w:rsid w:val="00C3386D"/>
    <w:rsid w:val="00C33ACD"/>
    <w:rsid w:val="00C33BCF"/>
    <w:rsid w:val="00C34815"/>
    <w:rsid w:val="00C34DD2"/>
    <w:rsid w:val="00C350E1"/>
    <w:rsid w:val="00C35F24"/>
    <w:rsid w:val="00C361F9"/>
    <w:rsid w:val="00C36291"/>
    <w:rsid w:val="00C36719"/>
    <w:rsid w:val="00C367CF"/>
    <w:rsid w:val="00C368D8"/>
    <w:rsid w:val="00C369C9"/>
    <w:rsid w:val="00C36C8F"/>
    <w:rsid w:val="00C3757D"/>
    <w:rsid w:val="00C37D38"/>
    <w:rsid w:val="00C40509"/>
    <w:rsid w:val="00C40574"/>
    <w:rsid w:val="00C40BDE"/>
    <w:rsid w:val="00C40BFF"/>
    <w:rsid w:val="00C40D99"/>
    <w:rsid w:val="00C411E3"/>
    <w:rsid w:val="00C412AB"/>
    <w:rsid w:val="00C41CCB"/>
    <w:rsid w:val="00C41F24"/>
    <w:rsid w:val="00C422B9"/>
    <w:rsid w:val="00C431C4"/>
    <w:rsid w:val="00C44440"/>
    <w:rsid w:val="00C448E5"/>
    <w:rsid w:val="00C4497C"/>
    <w:rsid w:val="00C44A3E"/>
    <w:rsid w:val="00C44C67"/>
    <w:rsid w:val="00C45413"/>
    <w:rsid w:val="00C45503"/>
    <w:rsid w:val="00C45C36"/>
    <w:rsid w:val="00C4645C"/>
    <w:rsid w:val="00C46A95"/>
    <w:rsid w:val="00C46E32"/>
    <w:rsid w:val="00C47DF3"/>
    <w:rsid w:val="00C47E95"/>
    <w:rsid w:val="00C50405"/>
    <w:rsid w:val="00C507FB"/>
    <w:rsid w:val="00C50EB4"/>
    <w:rsid w:val="00C50EDD"/>
    <w:rsid w:val="00C5101C"/>
    <w:rsid w:val="00C514BA"/>
    <w:rsid w:val="00C51AFD"/>
    <w:rsid w:val="00C51C3A"/>
    <w:rsid w:val="00C534DD"/>
    <w:rsid w:val="00C53C10"/>
    <w:rsid w:val="00C53E78"/>
    <w:rsid w:val="00C54063"/>
    <w:rsid w:val="00C543F1"/>
    <w:rsid w:val="00C54E02"/>
    <w:rsid w:val="00C5514B"/>
    <w:rsid w:val="00C5566B"/>
    <w:rsid w:val="00C55C93"/>
    <w:rsid w:val="00C55DB0"/>
    <w:rsid w:val="00C55E2E"/>
    <w:rsid w:val="00C56700"/>
    <w:rsid w:val="00C56D5E"/>
    <w:rsid w:val="00C56FE7"/>
    <w:rsid w:val="00C574DF"/>
    <w:rsid w:val="00C5768E"/>
    <w:rsid w:val="00C606D4"/>
    <w:rsid w:val="00C60B7A"/>
    <w:rsid w:val="00C60CA3"/>
    <w:rsid w:val="00C60E01"/>
    <w:rsid w:val="00C60EE7"/>
    <w:rsid w:val="00C6140C"/>
    <w:rsid w:val="00C61607"/>
    <w:rsid w:val="00C616E4"/>
    <w:rsid w:val="00C61834"/>
    <w:rsid w:val="00C626C3"/>
    <w:rsid w:val="00C62BDD"/>
    <w:rsid w:val="00C62FCD"/>
    <w:rsid w:val="00C631D2"/>
    <w:rsid w:val="00C63495"/>
    <w:rsid w:val="00C63C12"/>
    <w:rsid w:val="00C6420D"/>
    <w:rsid w:val="00C64538"/>
    <w:rsid w:val="00C648F7"/>
    <w:rsid w:val="00C64AB6"/>
    <w:rsid w:val="00C652B1"/>
    <w:rsid w:val="00C6536C"/>
    <w:rsid w:val="00C65679"/>
    <w:rsid w:val="00C657F1"/>
    <w:rsid w:val="00C65E20"/>
    <w:rsid w:val="00C663BA"/>
    <w:rsid w:val="00C6644E"/>
    <w:rsid w:val="00C666A4"/>
    <w:rsid w:val="00C66EAF"/>
    <w:rsid w:val="00C672AE"/>
    <w:rsid w:val="00C6730B"/>
    <w:rsid w:val="00C67413"/>
    <w:rsid w:val="00C67727"/>
    <w:rsid w:val="00C67BCA"/>
    <w:rsid w:val="00C709AF"/>
    <w:rsid w:val="00C712E1"/>
    <w:rsid w:val="00C71345"/>
    <w:rsid w:val="00C71648"/>
    <w:rsid w:val="00C7230E"/>
    <w:rsid w:val="00C723D0"/>
    <w:rsid w:val="00C7282F"/>
    <w:rsid w:val="00C72F04"/>
    <w:rsid w:val="00C72F36"/>
    <w:rsid w:val="00C7325B"/>
    <w:rsid w:val="00C74247"/>
    <w:rsid w:val="00C743C4"/>
    <w:rsid w:val="00C74901"/>
    <w:rsid w:val="00C74E4D"/>
    <w:rsid w:val="00C7587A"/>
    <w:rsid w:val="00C7587B"/>
    <w:rsid w:val="00C75AEF"/>
    <w:rsid w:val="00C7623D"/>
    <w:rsid w:val="00C7626E"/>
    <w:rsid w:val="00C76727"/>
    <w:rsid w:val="00C768AC"/>
    <w:rsid w:val="00C76E6B"/>
    <w:rsid w:val="00C772EA"/>
    <w:rsid w:val="00C77346"/>
    <w:rsid w:val="00C778DE"/>
    <w:rsid w:val="00C779AA"/>
    <w:rsid w:val="00C77A57"/>
    <w:rsid w:val="00C80347"/>
    <w:rsid w:val="00C80493"/>
    <w:rsid w:val="00C80788"/>
    <w:rsid w:val="00C808DB"/>
    <w:rsid w:val="00C80CCA"/>
    <w:rsid w:val="00C8116A"/>
    <w:rsid w:val="00C813B3"/>
    <w:rsid w:val="00C815DE"/>
    <w:rsid w:val="00C818DB"/>
    <w:rsid w:val="00C81924"/>
    <w:rsid w:val="00C827E7"/>
    <w:rsid w:val="00C82ADD"/>
    <w:rsid w:val="00C82C2C"/>
    <w:rsid w:val="00C83546"/>
    <w:rsid w:val="00C84025"/>
    <w:rsid w:val="00C84881"/>
    <w:rsid w:val="00C84AF6"/>
    <w:rsid w:val="00C85290"/>
    <w:rsid w:val="00C85360"/>
    <w:rsid w:val="00C86012"/>
    <w:rsid w:val="00C866CA"/>
    <w:rsid w:val="00C86F60"/>
    <w:rsid w:val="00C86FAA"/>
    <w:rsid w:val="00C872F2"/>
    <w:rsid w:val="00C8749A"/>
    <w:rsid w:val="00C87B95"/>
    <w:rsid w:val="00C9029F"/>
    <w:rsid w:val="00C90366"/>
    <w:rsid w:val="00C90EB6"/>
    <w:rsid w:val="00C9107C"/>
    <w:rsid w:val="00C9110F"/>
    <w:rsid w:val="00C915C7"/>
    <w:rsid w:val="00C91877"/>
    <w:rsid w:val="00C9208C"/>
    <w:rsid w:val="00C92519"/>
    <w:rsid w:val="00C927EF"/>
    <w:rsid w:val="00C92CD7"/>
    <w:rsid w:val="00C92DEB"/>
    <w:rsid w:val="00C93557"/>
    <w:rsid w:val="00C9365C"/>
    <w:rsid w:val="00C93F72"/>
    <w:rsid w:val="00C9420B"/>
    <w:rsid w:val="00C9446D"/>
    <w:rsid w:val="00C944D4"/>
    <w:rsid w:val="00C94A8F"/>
    <w:rsid w:val="00C9506D"/>
    <w:rsid w:val="00C953AD"/>
    <w:rsid w:val="00C95F49"/>
    <w:rsid w:val="00C9622B"/>
    <w:rsid w:val="00C96A56"/>
    <w:rsid w:val="00C96CAD"/>
    <w:rsid w:val="00C974AB"/>
    <w:rsid w:val="00C974FB"/>
    <w:rsid w:val="00C9784C"/>
    <w:rsid w:val="00C979FD"/>
    <w:rsid w:val="00CA0055"/>
    <w:rsid w:val="00CA0A74"/>
    <w:rsid w:val="00CA0C6D"/>
    <w:rsid w:val="00CA0E8D"/>
    <w:rsid w:val="00CA1019"/>
    <w:rsid w:val="00CA15AD"/>
    <w:rsid w:val="00CA1975"/>
    <w:rsid w:val="00CA29E5"/>
    <w:rsid w:val="00CA2ECC"/>
    <w:rsid w:val="00CA3200"/>
    <w:rsid w:val="00CA4204"/>
    <w:rsid w:val="00CA4356"/>
    <w:rsid w:val="00CA44A3"/>
    <w:rsid w:val="00CA49B9"/>
    <w:rsid w:val="00CA4B46"/>
    <w:rsid w:val="00CA4BF5"/>
    <w:rsid w:val="00CA4D66"/>
    <w:rsid w:val="00CA4EBB"/>
    <w:rsid w:val="00CA504F"/>
    <w:rsid w:val="00CA5DC1"/>
    <w:rsid w:val="00CA6222"/>
    <w:rsid w:val="00CA637F"/>
    <w:rsid w:val="00CA6400"/>
    <w:rsid w:val="00CA645D"/>
    <w:rsid w:val="00CA6AD8"/>
    <w:rsid w:val="00CA707A"/>
    <w:rsid w:val="00CA7224"/>
    <w:rsid w:val="00CA7714"/>
    <w:rsid w:val="00CA78F0"/>
    <w:rsid w:val="00CB034E"/>
    <w:rsid w:val="00CB0B47"/>
    <w:rsid w:val="00CB0BEC"/>
    <w:rsid w:val="00CB0C5B"/>
    <w:rsid w:val="00CB12CB"/>
    <w:rsid w:val="00CB16E4"/>
    <w:rsid w:val="00CB17F3"/>
    <w:rsid w:val="00CB1FD1"/>
    <w:rsid w:val="00CB25C9"/>
    <w:rsid w:val="00CB269D"/>
    <w:rsid w:val="00CB2EBF"/>
    <w:rsid w:val="00CB32FF"/>
    <w:rsid w:val="00CB33EE"/>
    <w:rsid w:val="00CB3699"/>
    <w:rsid w:val="00CB393D"/>
    <w:rsid w:val="00CB3DAE"/>
    <w:rsid w:val="00CB4469"/>
    <w:rsid w:val="00CB47B1"/>
    <w:rsid w:val="00CB49D1"/>
    <w:rsid w:val="00CB4A44"/>
    <w:rsid w:val="00CB53A2"/>
    <w:rsid w:val="00CB5657"/>
    <w:rsid w:val="00CB57AB"/>
    <w:rsid w:val="00CB5897"/>
    <w:rsid w:val="00CB5E45"/>
    <w:rsid w:val="00CB67AE"/>
    <w:rsid w:val="00CB6903"/>
    <w:rsid w:val="00CB7CDE"/>
    <w:rsid w:val="00CB7D17"/>
    <w:rsid w:val="00CB7E54"/>
    <w:rsid w:val="00CC03A0"/>
    <w:rsid w:val="00CC069B"/>
    <w:rsid w:val="00CC0C49"/>
    <w:rsid w:val="00CC0CB3"/>
    <w:rsid w:val="00CC0E0A"/>
    <w:rsid w:val="00CC0F32"/>
    <w:rsid w:val="00CC0F91"/>
    <w:rsid w:val="00CC10D5"/>
    <w:rsid w:val="00CC10D6"/>
    <w:rsid w:val="00CC1719"/>
    <w:rsid w:val="00CC198E"/>
    <w:rsid w:val="00CC1F0D"/>
    <w:rsid w:val="00CC24B8"/>
    <w:rsid w:val="00CC2B97"/>
    <w:rsid w:val="00CC2C67"/>
    <w:rsid w:val="00CC33F5"/>
    <w:rsid w:val="00CC35A4"/>
    <w:rsid w:val="00CC39D8"/>
    <w:rsid w:val="00CC3FFE"/>
    <w:rsid w:val="00CC42FB"/>
    <w:rsid w:val="00CC464B"/>
    <w:rsid w:val="00CC4CDF"/>
    <w:rsid w:val="00CC4D91"/>
    <w:rsid w:val="00CC4F5E"/>
    <w:rsid w:val="00CC6169"/>
    <w:rsid w:val="00CC621E"/>
    <w:rsid w:val="00CC6E96"/>
    <w:rsid w:val="00CC6EDF"/>
    <w:rsid w:val="00CC7076"/>
    <w:rsid w:val="00CC7982"/>
    <w:rsid w:val="00CC79B1"/>
    <w:rsid w:val="00CC7ACD"/>
    <w:rsid w:val="00CD00A8"/>
    <w:rsid w:val="00CD0489"/>
    <w:rsid w:val="00CD0597"/>
    <w:rsid w:val="00CD05E2"/>
    <w:rsid w:val="00CD0641"/>
    <w:rsid w:val="00CD0844"/>
    <w:rsid w:val="00CD0E8C"/>
    <w:rsid w:val="00CD1866"/>
    <w:rsid w:val="00CD1B8D"/>
    <w:rsid w:val="00CD1DC1"/>
    <w:rsid w:val="00CD1F90"/>
    <w:rsid w:val="00CD2889"/>
    <w:rsid w:val="00CD29D2"/>
    <w:rsid w:val="00CD2CDD"/>
    <w:rsid w:val="00CD303A"/>
    <w:rsid w:val="00CD34CB"/>
    <w:rsid w:val="00CD3C50"/>
    <w:rsid w:val="00CD4824"/>
    <w:rsid w:val="00CD4B5C"/>
    <w:rsid w:val="00CD4DFA"/>
    <w:rsid w:val="00CD56B1"/>
    <w:rsid w:val="00CD57A4"/>
    <w:rsid w:val="00CD597A"/>
    <w:rsid w:val="00CD5F33"/>
    <w:rsid w:val="00CD63BF"/>
    <w:rsid w:val="00CD6915"/>
    <w:rsid w:val="00CD6A61"/>
    <w:rsid w:val="00CD73ED"/>
    <w:rsid w:val="00CD77B6"/>
    <w:rsid w:val="00CD7DF4"/>
    <w:rsid w:val="00CE0B29"/>
    <w:rsid w:val="00CE0BC1"/>
    <w:rsid w:val="00CE0C34"/>
    <w:rsid w:val="00CE0D5C"/>
    <w:rsid w:val="00CE0DBF"/>
    <w:rsid w:val="00CE0EC7"/>
    <w:rsid w:val="00CE1095"/>
    <w:rsid w:val="00CE10F2"/>
    <w:rsid w:val="00CE13B5"/>
    <w:rsid w:val="00CE1A90"/>
    <w:rsid w:val="00CE1D8C"/>
    <w:rsid w:val="00CE2411"/>
    <w:rsid w:val="00CE24B8"/>
    <w:rsid w:val="00CE368E"/>
    <w:rsid w:val="00CE3E35"/>
    <w:rsid w:val="00CE3F01"/>
    <w:rsid w:val="00CE478D"/>
    <w:rsid w:val="00CE47D0"/>
    <w:rsid w:val="00CE4FA6"/>
    <w:rsid w:val="00CE506C"/>
    <w:rsid w:val="00CE515B"/>
    <w:rsid w:val="00CE5807"/>
    <w:rsid w:val="00CE5918"/>
    <w:rsid w:val="00CE5CF9"/>
    <w:rsid w:val="00CE6144"/>
    <w:rsid w:val="00CE6297"/>
    <w:rsid w:val="00CE62BC"/>
    <w:rsid w:val="00CE6545"/>
    <w:rsid w:val="00CE6A7F"/>
    <w:rsid w:val="00CE747A"/>
    <w:rsid w:val="00CE74EC"/>
    <w:rsid w:val="00CE77A6"/>
    <w:rsid w:val="00CE7819"/>
    <w:rsid w:val="00CF04E5"/>
    <w:rsid w:val="00CF057F"/>
    <w:rsid w:val="00CF09F4"/>
    <w:rsid w:val="00CF0D4D"/>
    <w:rsid w:val="00CF0FAD"/>
    <w:rsid w:val="00CF13E9"/>
    <w:rsid w:val="00CF14A2"/>
    <w:rsid w:val="00CF1565"/>
    <w:rsid w:val="00CF1958"/>
    <w:rsid w:val="00CF1C01"/>
    <w:rsid w:val="00CF21CA"/>
    <w:rsid w:val="00CF2B66"/>
    <w:rsid w:val="00CF2FEC"/>
    <w:rsid w:val="00CF306F"/>
    <w:rsid w:val="00CF3928"/>
    <w:rsid w:val="00CF42C8"/>
    <w:rsid w:val="00CF4306"/>
    <w:rsid w:val="00CF4355"/>
    <w:rsid w:val="00CF4663"/>
    <w:rsid w:val="00CF4B21"/>
    <w:rsid w:val="00CF50AD"/>
    <w:rsid w:val="00CF518E"/>
    <w:rsid w:val="00CF565C"/>
    <w:rsid w:val="00CF64E5"/>
    <w:rsid w:val="00CF686A"/>
    <w:rsid w:val="00CF6B0A"/>
    <w:rsid w:val="00CF6F12"/>
    <w:rsid w:val="00CF77C1"/>
    <w:rsid w:val="00CF7CC8"/>
    <w:rsid w:val="00D00631"/>
    <w:rsid w:val="00D008F4"/>
    <w:rsid w:val="00D009D3"/>
    <w:rsid w:val="00D00B0E"/>
    <w:rsid w:val="00D01643"/>
    <w:rsid w:val="00D018E3"/>
    <w:rsid w:val="00D01C83"/>
    <w:rsid w:val="00D021B1"/>
    <w:rsid w:val="00D02A79"/>
    <w:rsid w:val="00D02BD4"/>
    <w:rsid w:val="00D031AD"/>
    <w:rsid w:val="00D03309"/>
    <w:rsid w:val="00D036AE"/>
    <w:rsid w:val="00D038B9"/>
    <w:rsid w:val="00D03ABF"/>
    <w:rsid w:val="00D04344"/>
    <w:rsid w:val="00D04E95"/>
    <w:rsid w:val="00D05231"/>
    <w:rsid w:val="00D0706E"/>
    <w:rsid w:val="00D07985"/>
    <w:rsid w:val="00D10AD7"/>
    <w:rsid w:val="00D10DB0"/>
    <w:rsid w:val="00D12219"/>
    <w:rsid w:val="00D12DDA"/>
    <w:rsid w:val="00D13287"/>
    <w:rsid w:val="00D132DE"/>
    <w:rsid w:val="00D133CB"/>
    <w:rsid w:val="00D13534"/>
    <w:rsid w:val="00D13ACB"/>
    <w:rsid w:val="00D13B6E"/>
    <w:rsid w:val="00D13D56"/>
    <w:rsid w:val="00D13FA3"/>
    <w:rsid w:val="00D13FFB"/>
    <w:rsid w:val="00D149BD"/>
    <w:rsid w:val="00D149DE"/>
    <w:rsid w:val="00D14CEF"/>
    <w:rsid w:val="00D14CF7"/>
    <w:rsid w:val="00D14EBB"/>
    <w:rsid w:val="00D14F2D"/>
    <w:rsid w:val="00D1501C"/>
    <w:rsid w:val="00D15F1F"/>
    <w:rsid w:val="00D166D7"/>
    <w:rsid w:val="00D16AAF"/>
    <w:rsid w:val="00D16EFA"/>
    <w:rsid w:val="00D175AF"/>
    <w:rsid w:val="00D17A6D"/>
    <w:rsid w:val="00D2097D"/>
    <w:rsid w:val="00D20B0E"/>
    <w:rsid w:val="00D20F48"/>
    <w:rsid w:val="00D2113D"/>
    <w:rsid w:val="00D21294"/>
    <w:rsid w:val="00D21A8B"/>
    <w:rsid w:val="00D21F9A"/>
    <w:rsid w:val="00D22076"/>
    <w:rsid w:val="00D22BAA"/>
    <w:rsid w:val="00D22DB4"/>
    <w:rsid w:val="00D238C0"/>
    <w:rsid w:val="00D23A8B"/>
    <w:rsid w:val="00D240D1"/>
    <w:rsid w:val="00D24E0A"/>
    <w:rsid w:val="00D2501B"/>
    <w:rsid w:val="00D25D54"/>
    <w:rsid w:val="00D2637D"/>
    <w:rsid w:val="00D265F0"/>
    <w:rsid w:val="00D26698"/>
    <w:rsid w:val="00D268FB"/>
    <w:rsid w:val="00D26AB6"/>
    <w:rsid w:val="00D26C8A"/>
    <w:rsid w:val="00D26DC2"/>
    <w:rsid w:val="00D26FC1"/>
    <w:rsid w:val="00D27650"/>
    <w:rsid w:val="00D27B48"/>
    <w:rsid w:val="00D27C54"/>
    <w:rsid w:val="00D3017C"/>
    <w:rsid w:val="00D302FA"/>
    <w:rsid w:val="00D305FD"/>
    <w:rsid w:val="00D3060B"/>
    <w:rsid w:val="00D30647"/>
    <w:rsid w:val="00D307E5"/>
    <w:rsid w:val="00D30873"/>
    <w:rsid w:val="00D30D9C"/>
    <w:rsid w:val="00D315F5"/>
    <w:rsid w:val="00D318A0"/>
    <w:rsid w:val="00D31C27"/>
    <w:rsid w:val="00D31FBF"/>
    <w:rsid w:val="00D32011"/>
    <w:rsid w:val="00D32030"/>
    <w:rsid w:val="00D3274B"/>
    <w:rsid w:val="00D32800"/>
    <w:rsid w:val="00D32890"/>
    <w:rsid w:val="00D337FF"/>
    <w:rsid w:val="00D33CD0"/>
    <w:rsid w:val="00D33F5F"/>
    <w:rsid w:val="00D345E1"/>
    <w:rsid w:val="00D34A60"/>
    <w:rsid w:val="00D34B26"/>
    <w:rsid w:val="00D35157"/>
    <w:rsid w:val="00D35618"/>
    <w:rsid w:val="00D35DD9"/>
    <w:rsid w:val="00D36F7F"/>
    <w:rsid w:val="00D37EDC"/>
    <w:rsid w:val="00D4002C"/>
    <w:rsid w:val="00D40596"/>
    <w:rsid w:val="00D40B6C"/>
    <w:rsid w:val="00D40ED2"/>
    <w:rsid w:val="00D4101D"/>
    <w:rsid w:val="00D4170D"/>
    <w:rsid w:val="00D419E5"/>
    <w:rsid w:val="00D41AF3"/>
    <w:rsid w:val="00D41C84"/>
    <w:rsid w:val="00D421A3"/>
    <w:rsid w:val="00D42535"/>
    <w:rsid w:val="00D428C1"/>
    <w:rsid w:val="00D4303F"/>
    <w:rsid w:val="00D433E1"/>
    <w:rsid w:val="00D4403C"/>
    <w:rsid w:val="00D447BA"/>
    <w:rsid w:val="00D44B1B"/>
    <w:rsid w:val="00D44FA9"/>
    <w:rsid w:val="00D452E3"/>
    <w:rsid w:val="00D454FF"/>
    <w:rsid w:val="00D456E8"/>
    <w:rsid w:val="00D45707"/>
    <w:rsid w:val="00D465F5"/>
    <w:rsid w:val="00D466EB"/>
    <w:rsid w:val="00D466FF"/>
    <w:rsid w:val="00D4677D"/>
    <w:rsid w:val="00D46F96"/>
    <w:rsid w:val="00D474BF"/>
    <w:rsid w:val="00D47603"/>
    <w:rsid w:val="00D47890"/>
    <w:rsid w:val="00D5070C"/>
    <w:rsid w:val="00D50E91"/>
    <w:rsid w:val="00D51177"/>
    <w:rsid w:val="00D512BB"/>
    <w:rsid w:val="00D515CA"/>
    <w:rsid w:val="00D516D0"/>
    <w:rsid w:val="00D519BF"/>
    <w:rsid w:val="00D51C70"/>
    <w:rsid w:val="00D51CE4"/>
    <w:rsid w:val="00D5246D"/>
    <w:rsid w:val="00D527A5"/>
    <w:rsid w:val="00D52830"/>
    <w:rsid w:val="00D52CAF"/>
    <w:rsid w:val="00D52D59"/>
    <w:rsid w:val="00D52D6D"/>
    <w:rsid w:val="00D532A1"/>
    <w:rsid w:val="00D536D8"/>
    <w:rsid w:val="00D53EB2"/>
    <w:rsid w:val="00D559CE"/>
    <w:rsid w:val="00D55ED2"/>
    <w:rsid w:val="00D5665F"/>
    <w:rsid w:val="00D57058"/>
    <w:rsid w:val="00D570C4"/>
    <w:rsid w:val="00D57BB6"/>
    <w:rsid w:val="00D57BF0"/>
    <w:rsid w:val="00D6052E"/>
    <w:rsid w:val="00D60535"/>
    <w:rsid w:val="00D609A2"/>
    <w:rsid w:val="00D60D0A"/>
    <w:rsid w:val="00D6166E"/>
    <w:rsid w:val="00D6220B"/>
    <w:rsid w:val="00D627F7"/>
    <w:rsid w:val="00D632A3"/>
    <w:rsid w:val="00D6364C"/>
    <w:rsid w:val="00D63A28"/>
    <w:rsid w:val="00D63E82"/>
    <w:rsid w:val="00D63FA8"/>
    <w:rsid w:val="00D6429A"/>
    <w:rsid w:val="00D64396"/>
    <w:rsid w:val="00D64465"/>
    <w:rsid w:val="00D64549"/>
    <w:rsid w:val="00D647A7"/>
    <w:rsid w:val="00D648A3"/>
    <w:rsid w:val="00D65203"/>
    <w:rsid w:val="00D65824"/>
    <w:rsid w:val="00D65889"/>
    <w:rsid w:val="00D659A1"/>
    <w:rsid w:val="00D65D32"/>
    <w:rsid w:val="00D65FC2"/>
    <w:rsid w:val="00D67A99"/>
    <w:rsid w:val="00D67FAC"/>
    <w:rsid w:val="00D703C3"/>
    <w:rsid w:val="00D705E2"/>
    <w:rsid w:val="00D7077B"/>
    <w:rsid w:val="00D70A7B"/>
    <w:rsid w:val="00D70B06"/>
    <w:rsid w:val="00D71AEA"/>
    <w:rsid w:val="00D71E1E"/>
    <w:rsid w:val="00D72CC6"/>
    <w:rsid w:val="00D7312B"/>
    <w:rsid w:val="00D7334E"/>
    <w:rsid w:val="00D73665"/>
    <w:rsid w:val="00D736A8"/>
    <w:rsid w:val="00D73CFA"/>
    <w:rsid w:val="00D73D60"/>
    <w:rsid w:val="00D73D63"/>
    <w:rsid w:val="00D73D6D"/>
    <w:rsid w:val="00D73EFA"/>
    <w:rsid w:val="00D73FEE"/>
    <w:rsid w:val="00D7428D"/>
    <w:rsid w:val="00D74B2E"/>
    <w:rsid w:val="00D74D34"/>
    <w:rsid w:val="00D74E65"/>
    <w:rsid w:val="00D7518C"/>
    <w:rsid w:val="00D752AA"/>
    <w:rsid w:val="00D75890"/>
    <w:rsid w:val="00D75DDE"/>
    <w:rsid w:val="00D75FFC"/>
    <w:rsid w:val="00D7711D"/>
    <w:rsid w:val="00D7739F"/>
    <w:rsid w:val="00D8077F"/>
    <w:rsid w:val="00D80A35"/>
    <w:rsid w:val="00D80CA6"/>
    <w:rsid w:val="00D81F79"/>
    <w:rsid w:val="00D82615"/>
    <w:rsid w:val="00D82880"/>
    <w:rsid w:val="00D82E8D"/>
    <w:rsid w:val="00D833FA"/>
    <w:rsid w:val="00D837BC"/>
    <w:rsid w:val="00D8406C"/>
    <w:rsid w:val="00D84117"/>
    <w:rsid w:val="00D8421A"/>
    <w:rsid w:val="00D84226"/>
    <w:rsid w:val="00D84689"/>
    <w:rsid w:val="00D84F58"/>
    <w:rsid w:val="00D84F7B"/>
    <w:rsid w:val="00D852BE"/>
    <w:rsid w:val="00D85740"/>
    <w:rsid w:val="00D85AB3"/>
    <w:rsid w:val="00D863B6"/>
    <w:rsid w:val="00D863F3"/>
    <w:rsid w:val="00D86A3F"/>
    <w:rsid w:val="00D86D00"/>
    <w:rsid w:val="00D90514"/>
    <w:rsid w:val="00D90598"/>
    <w:rsid w:val="00D906B9"/>
    <w:rsid w:val="00D907E7"/>
    <w:rsid w:val="00D9093D"/>
    <w:rsid w:val="00D90DEC"/>
    <w:rsid w:val="00D92099"/>
    <w:rsid w:val="00D93255"/>
    <w:rsid w:val="00D94499"/>
    <w:rsid w:val="00D948CF"/>
    <w:rsid w:val="00D94E0F"/>
    <w:rsid w:val="00D958D0"/>
    <w:rsid w:val="00D9590F"/>
    <w:rsid w:val="00D959F8"/>
    <w:rsid w:val="00D95A27"/>
    <w:rsid w:val="00D95B58"/>
    <w:rsid w:val="00D95CC1"/>
    <w:rsid w:val="00D97092"/>
    <w:rsid w:val="00D97642"/>
    <w:rsid w:val="00DA030A"/>
    <w:rsid w:val="00DA075B"/>
    <w:rsid w:val="00DA089C"/>
    <w:rsid w:val="00DA1145"/>
    <w:rsid w:val="00DA11B4"/>
    <w:rsid w:val="00DA13F5"/>
    <w:rsid w:val="00DA1A05"/>
    <w:rsid w:val="00DA1C06"/>
    <w:rsid w:val="00DA1EDB"/>
    <w:rsid w:val="00DA20D6"/>
    <w:rsid w:val="00DA21A0"/>
    <w:rsid w:val="00DA292D"/>
    <w:rsid w:val="00DA3751"/>
    <w:rsid w:val="00DA3948"/>
    <w:rsid w:val="00DA41C4"/>
    <w:rsid w:val="00DA46D2"/>
    <w:rsid w:val="00DA4C64"/>
    <w:rsid w:val="00DA4D58"/>
    <w:rsid w:val="00DA4D82"/>
    <w:rsid w:val="00DA4ED1"/>
    <w:rsid w:val="00DA5145"/>
    <w:rsid w:val="00DA5AC3"/>
    <w:rsid w:val="00DA5E21"/>
    <w:rsid w:val="00DA6039"/>
    <w:rsid w:val="00DA635F"/>
    <w:rsid w:val="00DA6889"/>
    <w:rsid w:val="00DA72EF"/>
    <w:rsid w:val="00DA77FA"/>
    <w:rsid w:val="00DA79FF"/>
    <w:rsid w:val="00DB005B"/>
    <w:rsid w:val="00DB0A43"/>
    <w:rsid w:val="00DB1498"/>
    <w:rsid w:val="00DB2176"/>
    <w:rsid w:val="00DB2575"/>
    <w:rsid w:val="00DB2A83"/>
    <w:rsid w:val="00DB2B0F"/>
    <w:rsid w:val="00DB2B18"/>
    <w:rsid w:val="00DB2FC7"/>
    <w:rsid w:val="00DB304D"/>
    <w:rsid w:val="00DB323C"/>
    <w:rsid w:val="00DB3522"/>
    <w:rsid w:val="00DB38B4"/>
    <w:rsid w:val="00DB4143"/>
    <w:rsid w:val="00DB469B"/>
    <w:rsid w:val="00DB4769"/>
    <w:rsid w:val="00DB5268"/>
    <w:rsid w:val="00DB579E"/>
    <w:rsid w:val="00DB5B80"/>
    <w:rsid w:val="00DB5F8D"/>
    <w:rsid w:val="00DB648F"/>
    <w:rsid w:val="00DB6563"/>
    <w:rsid w:val="00DB6D36"/>
    <w:rsid w:val="00DB704F"/>
    <w:rsid w:val="00DB779D"/>
    <w:rsid w:val="00DB7BBE"/>
    <w:rsid w:val="00DB7E20"/>
    <w:rsid w:val="00DC017B"/>
    <w:rsid w:val="00DC04DD"/>
    <w:rsid w:val="00DC06F7"/>
    <w:rsid w:val="00DC245B"/>
    <w:rsid w:val="00DC28CF"/>
    <w:rsid w:val="00DC2B5F"/>
    <w:rsid w:val="00DC2DCE"/>
    <w:rsid w:val="00DC3417"/>
    <w:rsid w:val="00DC3AD7"/>
    <w:rsid w:val="00DC3D7C"/>
    <w:rsid w:val="00DC3F65"/>
    <w:rsid w:val="00DC408C"/>
    <w:rsid w:val="00DC4B19"/>
    <w:rsid w:val="00DC5208"/>
    <w:rsid w:val="00DC62B0"/>
    <w:rsid w:val="00DC70D5"/>
    <w:rsid w:val="00DC7694"/>
    <w:rsid w:val="00DC7B66"/>
    <w:rsid w:val="00DC7CE7"/>
    <w:rsid w:val="00DC7DAD"/>
    <w:rsid w:val="00DD03C5"/>
    <w:rsid w:val="00DD0C39"/>
    <w:rsid w:val="00DD0C9B"/>
    <w:rsid w:val="00DD17E5"/>
    <w:rsid w:val="00DD2C69"/>
    <w:rsid w:val="00DD3245"/>
    <w:rsid w:val="00DD3467"/>
    <w:rsid w:val="00DD3C36"/>
    <w:rsid w:val="00DD4DEA"/>
    <w:rsid w:val="00DD5679"/>
    <w:rsid w:val="00DD5C18"/>
    <w:rsid w:val="00DD5C2D"/>
    <w:rsid w:val="00DD5CA2"/>
    <w:rsid w:val="00DD5CD5"/>
    <w:rsid w:val="00DD6152"/>
    <w:rsid w:val="00DD624C"/>
    <w:rsid w:val="00DD62F3"/>
    <w:rsid w:val="00DD670B"/>
    <w:rsid w:val="00DD73F7"/>
    <w:rsid w:val="00DD756F"/>
    <w:rsid w:val="00DD78D9"/>
    <w:rsid w:val="00DD7B0F"/>
    <w:rsid w:val="00DD7B6F"/>
    <w:rsid w:val="00DD7D51"/>
    <w:rsid w:val="00DE0474"/>
    <w:rsid w:val="00DE0BF8"/>
    <w:rsid w:val="00DE27B3"/>
    <w:rsid w:val="00DE2CA0"/>
    <w:rsid w:val="00DE2F35"/>
    <w:rsid w:val="00DE326F"/>
    <w:rsid w:val="00DE3851"/>
    <w:rsid w:val="00DE3C5B"/>
    <w:rsid w:val="00DE4230"/>
    <w:rsid w:val="00DE4417"/>
    <w:rsid w:val="00DE455D"/>
    <w:rsid w:val="00DE4651"/>
    <w:rsid w:val="00DE4BB9"/>
    <w:rsid w:val="00DE4FEB"/>
    <w:rsid w:val="00DE51B6"/>
    <w:rsid w:val="00DE5854"/>
    <w:rsid w:val="00DE5BC2"/>
    <w:rsid w:val="00DE5CC6"/>
    <w:rsid w:val="00DE6790"/>
    <w:rsid w:val="00DE6E1F"/>
    <w:rsid w:val="00DE7054"/>
    <w:rsid w:val="00DE7213"/>
    <w:rsid w:val="00DE7299"/>
    <w:rsid w:val="00DE7C7F"/>
    <w:rsid w:val="00DF021B"/>
    <w:rsid w:val="00DF03E6"/>
    <w:rsid w:val="00DF043C"/>
    <w:rsid w:val="00DF04DA"/>
    <w:rsid w:val="00DF08F1"/>
    <w:rsid w:val="00DF13FF"/>
    <w:rsid w:val="00DF298D"/>
    <w:rsid w:val="00DF2B1F"/>
    <w:rsid w:val="00DF2B68"/>
    <w:rsid w:val="00DF2E27"/>
    <w:rsid w:val="00DF2EA2"/>
    <w:rsid w:val="00DF2FD2"/>
    <w:rsid w:val="00DF47C0"/>
    <w:rsid w:val="00DF501E"/>
    <w:rsid w:val="00DF51D3"/>
    <w:rsid w:val="00DF52B8"/>
    <w:rsid w:val="00DF5B55"/>
    <w:rsid w:val="00DF5EC3"/>
    <w:rsid w:val="00DF610D"/>
    <w:rsid w:val="00DF6365"/>
    <w:rsid w:val="00DF6B12"/>
    <w:rsid w:val="00DF6D6A"/>
    <w:rsid w:val="00DF6F40"/>
    <w:rsid w:val="00DF6F9A"/>
    <w:rsid w:val="00DF77A1"/>
    <w:rsid w:val="00DF7AA7"/>
    <w:rsid w:val="00E006C0"/>
    <w:rsid w:val="00E00D9E"/>
    <w:rsid w:val="00E00F16"/>
    <w:rsid w:val="00E012CA"/>
    <w:rsid w:val="00E0138B"/>
    <w:rsid w:val="00E013B0"/>
    <w:rsid w:val="00E01421"/>
    <w:rsid w:val="00E01560"/>
    <w:rsid w:val="00E016DF"/>
    <w:rsid w:val="00E01CEA"/>
    <w:rsid w:val="00E01D57"/>
    <w:rsid w:val="00E01E27"/>
    <w:rsid w:val="00E02A2C"/>
    <w:rsid w:val="00E02F7B"/>
    <w:rsid w:val="00E032A9"/>
    <w:rsid w:val="00E035BA"/>
    <w:rsid w:val="00E0373A"/>
    <w:rsid w:val="00E03CDD"/>
    <w:rsid w:val="00E0403B"/>
    <w:rsid w:val="00E0450E"/>
    <w:rsid w:val="00E04617"/>
    <w:rsid w:val="00E04A7C"/>
    <w:rsid w:val="00E05C56"/>
    <w:rsid w:val="00E05DBC"/>
    <w:rsid w:val="00E061D2"/>
    <w:rsid w:val="00E061FC"/>
    <w:rsid w:val="00E062AB"/>
    <w:rsid w:val="00E06F79"/>
    <w:rsid w:val="00E06F8A"/>
    <w:rsid w:val="00E07022"/>
    <w:rsid w:val="00E073B8"/>
    <w:rsid w:val="00E07B43"/>
    <w:rsid w:val="00E07C21"/>
    <w:rsid w:val="00E103BC"/>
    <w:rsid w:val="00E104F5"/>
    <w:rsid w:val="00E106B4"/>
    <w:rsid w:val="00E1072B"/>
    <w:rsid w:val="00E10B79"/>
    <w:rsid w:val="00E12758"/>
    <w:rsid w:val="00E12A93"/>
    <w:rsid w:val="00E12BD5"/>
    <w:rsid w:val="00E13AB3"/>
    <w:rsid w:val="00E13C4F"/>
    <w:rsid w:val="00E13CE6"/>
    <w:rsid w:val="00E13E1F"/>
    <w:rsid w:val="00E13E92"/>
    <w:rsid w:val="00E1412E"/>
    <w:rsid w:val="00E141A3"/>
    <w:rsid w:val="00E14A42"/>
    <w:rsid w:val="00E14BC0"/>
    <w:rsid w:val="00E14CB6"/>
    <w:rsid w:val="00E152C2"/>
    <w:rsid w:val="00E15304"/>
    <w:rsid w:val="00E15F4F"/>
    <w:rsid w:val="00E16328"/>
    <w:rsid w:val="00E1686D"/>
    <w:rsid w:val="00E169CC"/>
    <w:rsid w:val="00E16F0C"/>
    <w:rsid w:val="00E171EE"/>
    <w:rsid w:val="00E1773A"/>
    <w:rsid w:val="00E1778A"/>
    <w:rsid w:val="00E17D0B"/>
    <w:rsid w:val="00E203DD"/>
    <w:rsid w:val="00E20CF5"/>
    <w:rsid w:val="00E21127"/>
    <w:rsid w:val="00E21F5A"/>
    <w:rsid w:val="00E226E7"/>
    <w:rsid w:val="00E22B5F"/>
    <w:rsid w:val="00E22EB0"/>
    <w:rsid w:val="00E23161"/>
    <w:rsid w:val="00E23820"/>
    <w:rsid w:val="00E23828"/>
    <w:rsid w:val="00E2397F"/>
    <w:rsid w:val="00E24096"/>
    <w:rsid w:val="00E243C8"/>
    <w:rsid w:val="00E24492"/>
    <w:rsid w:val="00E247E5"/>
    <w:rsid w:val="00E24D5C"/>
    <w:rsid w:val="00E25345"/>
    <w:rsid w:val="00E2571B"/>
    <w:rsid w:val="00E25CDC"/>
    <w:rsid w:val="00E26683"/>
    <w:rsid w:val="00E26718"/>
    <w:rsid w:val="00E26C5A"/>
    <w:rsid w:val="00E26CF9"/>
    <w:rsid w:val="00E26E88"/>
    <w:rsid w:val="00E26F72"/>
    <w:rsid w:val="00E26F84"/>
    <w:rsid w:val="00E2712E"/>
    <w:rsid w:val="00E27A95"/>
    <w:rsid w:val="00E27E40"/>
    <w:rsid w:val="00E27F83"/>
    <w:rsid w:val="00E30028"/>
    <w:rsid w:val="00E301C4"/>
    <w:rsid w:val="00E30766"/>
    <w:rsid w:val="00E308C2"/>
    <w:rsid w:val="00E3174A"/>
    <w:rsid w:val="00E31F26"/>
    <w:rsid w:val="00E333D3"/>
    <w:rsid w:val="00E3375F"/>
    <w:rsid w:val="00E3376B"/>
    <w:rsid w:val="00E33DAC"/>
    <w:rsid w:val="00E33F83"/>
    <w:rsid w:val="00E34105"/>
    <w:rsid w:val="00E34C84"/>
    <w:rsid w:val="00E3642C"/>
    <w:rsid w:val="00E364C3"/>
    <w:rsid w:val="00E366CD"/>
    <w:rsid w:val="00E366EC"/>
    <w:rsid w:val="00E36756"/>
    <w:rsid w:val="00E37449"/>
    <w:rsid w:val="00E37495"/>
    <w:rsid w:val="00E37E6A"/>
    <w:rsid w:val="00E37F6F"/>
    <w:rsid w:val="00E40115"/>
    <w:rsid w:val="00E4036E"/>
    <w:rsid w:val="00E40708"/>
    <w:rsid w:val="00E40776"/>
    <w:rsid w:val="00E40C14"/>
    <w:rsid w:val="00E41432"/>
    <w:rsid w:val="00E414E1"/>
    <w:rsid w:val="00E41BF5"/>
    <w:rsid w:val="00E41C0C"/>
    <w:rsid w:val="00E42AB7"/>
    <w:rsid w:val="00E42C23"/>
    <w:rsid w:val="00E42E72"/>
    <w:rsid w:val="00E43129"/>
    <w:rsid w:val="00E4316C"/>
    <w:rsid w:val="00E4322B"/>
    <w:rsid w:val="00E4350B"/>
    <w:rsid w:val="00E43B94"/>
    <w:rsid w:val="00E440B3"/>
    <w:rsid w:val="00E44918"/>
    <w:rsid w:val="00E44DBF"/>
    <w:rsid w:val="00E45749"/>
    <w:rsid w:val="00E460CF"/>
    <w:rsid w:val="00E463A0"/>
    <w:rsid w:val="00E47758"/>
    <w:rsid w:val="00E47BFA"/>
    <w:rsid w:val="00E47DE8"/>
    <w:rsid w:val="00E50016"/>
    <w:rsid w:val="00E50250"/>
    <w:rsid w:val="00E503D8"/>
    <w:rsid w:val="00E50BD9"/>
    <w:rsid w:val="00E51264"/>
    <w:rsid w:val="00E512AC"/>
    <w:rsid w:val="00E515D3"/>
    <w:rsid w:val="00E515DC"/>
    <w:rsid w:val="00E516CD"/>
    <w:rsid w:val="00E51719"/>
    <w:rsid w:val="00E51785"/>
    <w:rsid w:val="00E519CD"/>
    <w:rsid w:val="00E51DEF"/>
    <w:rsid w:val="00E524F6"/>
    <w:rsid w:val="00E5295C"/>
    <w:rsid w:val="00E52A59"/>
    <w:rsid w:val="00E540B7"/>
    <w:rsid w:val="00E5422D"/>
    <w:rsid w:val="00E542F2"/>
    <w:rsid w:val="00E55FBD"/>
    <w:rsid w:val="00E561CE"/>
    <w:rsid w:val="00E5685F"/>
    <w:rsid w:val="00E56F81"/>
    <w:rsid w:val="00E57116"/>
    <w:rsid w:val="00E5759A"/>
    <w:rsid w:val="00E5779D"/>
    <w:rsid w:val="00E57B92"/>
    <w:rsid w:val="00E57D71"/>
    <w:rsid w:val="00E604C8"/>
    <w:rsid w:val="00E608BB"/>
    <w:rsid w:val="00E6092B"/>
    <w:rsid w:val="00E61004"/>
    <w:rsid w:val="00E61517"/>
    <w:rsid w:val="00E61771"/>
    <w:rsid w:val="00E6186E"/>
    <w:rsid w:val="00E620A9"/>
    <w:rsid w:val="00E62325"/>
    <w:rsid w:val="00E62349"/>
    <w:rsid w:val="00E629AE"/>
    <w:rsid w:val="00E62DF8"/>
    <w:rsid w:val="00E62E0C"/>
    <w:rsid w:val="00E631BD"/>
    <w:rsid w:val="00E63C0B"/>
    <w:rsid w:val="00E63C0C"/>
    <w:rsid w:val="00E64433"/>
    <w:rsid w:val="00E64469"/>
    <w:rsid w:val="00E64AC5"/>
    <w:rsid w:val="00E64C7F"/>
    <w:rsid w:val="00E64E7B"/>
    <w:rsid w:val="00E65126"/>
    <w:rsid w:val="00E65AC5"/>
    <w:rsid w:val="00E66885"/>
    <w:rsid w:val="00E671D2"/>
    <w:rsid w:val="00E672E5"/>
    <w:rsid w:val="00E67853"/>
    <w:rsid w:val="00E6787D"/>
    <w:rsid w:val="00E7055B"/>
    <w:rsid w:val="00E70640"/>
    <w:rsid w:val="00E70CD8"/>
    <w:rsid w:val="00E70F0C"/>
    <w:rsid w:val="00E71B1E"/>
    <w:rsid w:val="00E71BE7"/>
    <w:rsid w:val="00E7205B"/>
    <w:rsid w:val="00E7270D"/>
    <w:rsid w:val="00E727D5"/>
    <w:rsid w:val="00E734BA"/>
    <w:rsid w:val="00E73710"/>
    <w:rsid w:val="00E749BB"/>
    <w:rsid w:val="00E749DB"/>
    <w:rsid w:val="00E74A40"/>
    <w:rsid w:val="00E74A7E"/>
    <w:rsid w:val="00E74C51"/>
    <w:rsid w:val="00E74CEA"/>
    <w:rsid w:val="00E75603"/>
    <w:rsid w:val="00E758EB"/>
    <w:rsid w:val="00E75964"/>
    <w:rsid w:val="00E75A3F"/>
    <w:rsid w:val="00E75AAA"/>
    <w:rsid w:val="00E75B88"/>
    <w:rsid w:val="00E75D43"/>
    <w:rsid w:val="00E75EC8"/>
    <w:rsid w:val="00E760C6"/>
    <w:rsid w:val="00E76276"/>
    <w:rsid w:val="00E76C48"/>
    <w:rsid w:val="00E76DD0"/>
    <w:rsid w:val="00E76F15"/>
    <w:rsid w:val="00E7706C"/>
    <w:rsid w:val="00E7712B"/>
    <w:rsid w:val="00E774D2"/>
    <w:rsid w:val="00E77C86"/>
    <w:rsid w:val="00E8096E"/>
    <w:rsid w:val="00E80B08"/>
    <w:rsid w:val="00E80B14"/>
    <w:rsid w:val="00E80D3C"/>
    <w:rsid w:val="00E81D14"/>
    <w:rsid w:val="00E820F2"/>
    <w:rsid w:val="00E821B7"/>
    <w:rsid w:val="00E82610"/>
    <w:rsid w:val="00E839F9"/>
    <w:rsid w:val="00E84234"/>
    <w:rsid w:val="00E8430A"/>
    <w:rsid w:val="00E845DF"/>
    <w:rsid w:val="00E84BE0"/>
    <w:rsid w:val="00E84D94"/>
    <w:rsid w:val="00E85BA6"/>
    <w:rsid w:val="00E85C50"/>
    <w:rsid w:val="00E86711"/>
    <w:rsid w:val="00E867A2"/>
    <w:rsid w:val="00E867BD"/>
    <w:rsid w:val="00E8742D"/>
    <w:rsid w:val="00E8764B"/>
    <w:rsid w:val="00E902AF"/>
    <w:rsid w:val="00E907DA"/>
    <w:rsid w:val="00E90984"/>
    <w:rsid w:val="00E90C3C"/>
    <w:rsid w:val="00E90C5E"/>
    <w:rsid w:val="00E90F40"/>
    <w:rsid w:val="00E910A0"/>
    <w:rsid w:val="00E91131"/>
    <w:rsid w:val="00E9142B"/>
    <w:rsid w:val="00E91C42"/>
    <w:rsid w:val="00E91D2B"/>
    <w:rsid w:val="00E92167"/>
    <w:rsid w:val="00E924D5"/>
    <w:rsid w:val="00E94951"/>
    <w:rsid w:val="00E951C1"/>
    <w:rsid w:val="00E95387"/>
    <w:rsid w:val="00E958EE"/>
    <w:rsid w:val="00E958F4"/>
    <w:rsid w:val="00E959A7"/>
    <w:rsid w:val="00E95BBF"/>
    <w:rsid w:val="00E95E2A"/>
    <w:rsid w:val="00E95F1F"/>
    <w:rsid w:val="00E962FB"/>
    <w:rsid w:val="00E9674E"/>
    <w:rsid w:val="00E96BE5"/>
    <w:rsid w:val="00E96E5F"/>
    <w:rsid w:val="00E96E6D"/>
    <w:rsid w:val="00E97055"/>
    <w:rsid w:val="00E97540"/>
    <w:rsid w:val="00E9765A"/>
    <w:rsid w:val="00E9777D"/>
    <w:rsid w:val="00E97846"/>
    <w:rsid w:val="00EA025A"/>
    <w:rsid w:val="00EA03EB"/>
    <w:rsid w:val="00EA05DB"/>
    <w:rsid w:val="00EA060D"/>
    <w:rsid w:val="00EA08EB"/>
    <w:rsid w:val="00EA0E72"/>
    <w:rsid w:val="00EA0F98"/>
    <w:rsid w:val="00EA0FB1"/>
    <w:rsid w:val="00EA13F2"/>
    <w:rsid w:val="00EA1498"/>
    <w:rsid w:val="00EA15A8"/>
    <w:rsid w:val="00EA1989"/>
    <w:rsid w:val="00EA1C76"/>
    <w:rsid w:val="00EA1F3C"/>
    <w:rsid w:val="00EA2676"/>
    <w:rsid w:val="00EA32ED"/>
    <w:rsid w:val="00EA3682"/>
    <w:rsid w:val="00EA389D"/>
    <w:rsid w:val="00EA38E6"/>
    <w:rsid w:val="00EA4548"/>
    <w:rsid w:val="00EA4F20"/>
    <w:rsid w:val="00EA5289"/>
    <w:rsid w:val="00EA5C4C"/>
    <w:rsid w:val="00EA66D3"/>
    <w:rsid w:val="00EA6E6E"/>
    <w:rsid w:val="00EA6E84"/>
    <w:rsid w:val="00EA6FBE"/>
    <w:rsid w:val="00EA7597"/>
    <w:rsid w:val="00EA7C96"/>
    <w:rsid w:val="00EB0715"/>
    <w:rsid w:val="00EB0BBC"/>
    <w:rsid w:val="00EB0C2E"/>
    <w:rsid w:val="00EB0C81"/>
    <w:rsid w:val="00EB0FDB"/>
    <w:rsid w:val="00EB0FE2"/>
    <w:rsid w:val="00EB12BE"/>
    <w:rsid w:val="00EB132E"/>
    <w:rsid w:val="00EB1964"/>
    <w:rsid w:val="00EB1B47"/>
    <w:rsid w:val="00EB1DC7"/>
    <w:rsid w:val="00EB2F43"/>
    <w:rsid w:val="00EB3111"/>
    <w:rsid w:val="00EB31B1"/>
    <w:rsid w:val="00EB366D"/>
    <w:rsid w:val="00EB3E26"/>
    <w:rsid w:val="00EB4666"/>
    <w:rsid w:val="00EB49B0"/>
    <w:rsid w:val="00EB55FF"/>
    <w:rsid w:val="00EB57F4"/>
    <w:rsid w:val="00EB5D09"/>
    <w:rsid w:val="00EB5D83"/>
    <w:rsid w:val="00EB61C0"/>
    <w:rsid w:val="00EB63D1"/>
    <w:rsid w:val="00EB6E4D"/>
    <w:rsid w:val="00EB7DC3"/>
    <w:rsid w:val="00EC0056"/>
    <w:rsid w:val="00EC031C"/>
    <w:rsid w:val="00EC0552"/>
    <w:rsid w:val="00EC0BEF"/>
    <w:rsid w:val="00EC1745"/>
    <w:rsid w:val="00EC1C18"/>
    <w:rsid w:val="00EC1C4E"/>
    <w:rsid w:val="00EC1C75"/>
    <w:rsid w:val="00EC30E0"/>
    <w:rsid w:val="00EC3C43"/>
    <w:rsid w:val="00EC41DA"/>
    <w:rsid w:val="00EC430E"/>
    <w:rsid w:val="00EC4485"/>
    <w:rsid w:val="00EC4F16"/>
    <w:rsid w:val="00EC53C0"/>
    <w:rsid w:val="00EC553A"/>
    <w:rsid w:val="00EC5DBF"/>
    <w:rsid w:val="00EC5FE5"/>
    <w:rsid w:val="00EC6738"/>
    <w:rsid w:val="00EC6BC9"/>
    <w:rsid w:val="00EC7322"/>
    <w:rsid w:val="00EC7415"/>
    <w:rsid w:val="00EC7993"/>
    <w:rsid w:val="00EC7BCD"/>
    <w:rsid w:val="00EC7C55"/>
    <w:rsid w:val="00ED0821"/>
    <w:rsid w:val="00ED0EFC"/>
    <w:rsid w:val="00ED1118"/>
    <w:rsid w:val="00ED169D"/>
    <w:rsid w:val="00ED20C7"/>
    <w:rsid w:val="00ED21DB"/>
    <w:rsid w:val="00ED21E3"/>
    <w:rsid w:val="00ED28AD"/>
    <w:rsid w:val="00ED2B76"/>
    <w:rsid w:val="00ED311E"/>
    <w:rsid w:val="00ED340A"/>
    <w:rsid w:val="00ED37D3"/>
    <w:rsid w:val="00ED37E9"/>
    <w:rsid w:val="00ED3B0E"/>
    <w:rsid w:val="00ED3EF3"/>
    <w:rsid w:val="00ED3F2E"/>
    <w:rsid w:val="00ED4A4E"/>
    <w:rsid w:val="00ED529B"/>
    <w:rsid w:val="00ED59F2"/>
    <w:rsid w:val="00ED5B6C"/>
    <w:rsid w:val="00ED5E15"/>
    <w:rsid w:val="00ED6038"/>
    <w:rsid w:val="00ED6498"/>
    <w:rsid w:val="00ED6E8C"/>
    <w:rsid w:val="00ED6F7A"/>
    <w:rsid w:val="00ED7192"/>
    <w:rsid w:val="00ED7570"/>
    <w:rsid w:val="00ED7839"/>
    <w:rsid w:val="00ED7A91"/>
    <w:rsid w:val="00ED7AEA"/>
    <w:rsid w:val="00EE0CC1"/>
    <w:rsid w:val="00EE0EED"/>
    <w:rsid w:val="00EE1565"/>
    <w:rsid w:val="00EE162F"/>
    <w:rsid w:val="00EE1C7E"/>
    <w:rsid w:val="00EE211E"/>
    <w:rsid w:val="00EE2210"/>
    <w:rsid w:val="00EE229B"/>
    <w:rsid w:val="00EE235E"/>
    <w:rsid w:val="00EE2848"/>
    <w:rsid w:val="00EE33C4"/>
    <w:rsid w:val="00EE3485"/>
    <w:rsid w:val="00EE3556"/>
    <w:rsid w:val="00EE392C"/>
    <w:rsid w:val="00EE3E01"/>
    <w:rsid w:val="00EE3F59"/>
    <w:rsid w:val="00EE40DE"/>
    <w:rsid w:val="00EE41B9"/>
    <w:rsid w:val="00EE427A"/>
    <w:rsid w:val="00EE43D4"/>
    <w:rsid w:val="00EE4616"/>
    <w:rsid w:val="00EE4E7C"/>
    <w:rsid w:val="00EE50FD"/>
    <w:rsid w:val="00EE5461"/>
    <w:rsid w:val="00EE58EF"/>
    <w:rsid w:val="00EE664A"/>
    <w:rsid w:val="00EE6746"/>
    <w:rsid w:val="00EE67C4"/>
    <w:rsid w:val="00EE6B16"/>
    <w:rsid w:val="00EE79E0"/>
    <w:rsid w:val="00EE7AC4"/>
    <w:rsid w:val="00EF0888"/>
    <w:rsid w:val="00EF0F93"/>
    <w:rsid w:val="00EF1896"/>
    <w:rsid w:val="00EF1F3B"/>
    <w:rsid w:val="00EF211A"/>
    <w:rsid w:val="00EF285E"/>
    <w:rsid w:val="00EF2BC9"/>
    <w:rsid w:val="00EF30B6"/>
    <w:rsid w:val="00EF3359"/>
    <w:rsid w:val="00EF3792"/>
    <w:rsid w:val="00EF39BC"/>
    <w:rsid w:val="00EF3A8A"/>
    <w:rsid w:val="00EF3EDB"/>
    <w:rsid w:val="00EF4226"/>
    <w:rsid w:val="00EF4790"/>
    <w:rsid w:val="00EF47D4"/>
    <w:rsid w:val="00EF496B"/>
    <w:rsid w:val="00EF499B"/>
    <w:rsid w:val="00EF4B9E"/>
    <w:rsid w:val="00EF56B1"/>
    <w:rsid w:val="00EF65D7"/>
    <w:rsid w:val="00EF69E9"/>
    <w:rsid w:val="00EF69EE"/>
    <w:rsid w:val="00EF6CE3"/>
    <w:rsid w:val="00EF6FE7"/>
    <w:rsid w:val="00EF70FC"/>
    <w:rsid w:val="00EF72D8"/>
    <w:rsid w:val="00EF7A8A"/>
    <w:rsid w:val="00F00AAF"/>
    <w:rsid w:val="00F00AB9"/>
    <w:rsid w:val="00F00B1F"/>
    <w:rsid w:val="00F010C7"/>
    <w:rsid w:val="00F015BD"/>
    <w:rsid w:val="00F019AF"/>
    <w:rsid w:val="00F01C6E"/>
    <w:rsid w:val="00F01F76"/>
    <w:rsid w:val="00F01FAF"/>
    <w:rsid w:val="00F0212F"/>
    <w:rsid w:val="00F0243A"/>
    <w:rsid w:val="00F02B12"/>
    <w:rsid w:val="00F02DA2"/>
    <w:rsid w:val="00F0331F"/>
    <w:rsid w:val="00F037AA"/>
    <w:rsid w:val="00F03A85"/>
    <w:rsid w:val="00F03D00"/>
    <w:rsid w:val="00F0412F"/>
    <w:rsid w:val="00F04A6C"/>
    <w:rsid w:val="00F04BE1"/>
    <w:rsid w:val="00F04E79"/>
    <w:rsid w:val="00F04FAC"/>
    <w:rsid w:val="00F057A5"/>
    <w:rsid w:val="00F058CE"/>
    <w:rsid w:val="00F05F0C"/>
    <w:rsid w:val="00F05F45"/>
    <w:rsid w:val="00F0684D"/>
    <w:rsid w:val="00F0775E"/>
    <w:rsid w:val="00F07B10"/>
    <w:rsid w:val="00F07BE0"/>
    <w:rsid w:val="00F07DC5"/>
    <w:rsid w:val="00F10E77"/>
    <w:rsid w:val="00F11A9C"/>
    <w:rsid w:val="00F11C48"/>
    <w:rsid w:val="00F11EAE"/>
    <w:rsid w:val="00F12031"/>
    <w:rsid w:val="00F12209"/>
    <w:rsid w:val="00F125B2"/>
    <w:rsid w:val="00F127CE"/>
    <w:rsid w:val="00F130E3"/>
    <w:rsid w:val="00F136FD"/>
    <w:rsid w:val="00F13B1C"/>
    <w:rsid w:val="00F14AA6"/>
    <w:rsid w:val="00F14C78"/>
    <w:rsid w:val="00F155AD"/>
    <w:rsid w:val="00F16074"/>
    <w:rsid w:val="00F16BE0"/>
    <w:rsid w:val="00F16D19"/>
    <w:rsid w:val="00F20542"/>
    <w:rsid w:val="00F20550"/>
    <w:rsid w:val="00F20DCD"/>
    <w:rsid w:val="00F2118B"/>
    <w:rsid w:val="00F212A1"/>
    <w:rsid w:val="00F214B1"/>
    <w:rsid w:val="00F21532"/>
    <w:rsid w:val="00F21560"/>
    <w:rsid w:val="00F216CB"/>
    <w:rsid w:val="00F21DBF"/>
    <w:rsid w:val="00F2294E"/>
    <w:rsid w:val="00F235BB"/>
    <w:rsid w:val="00F2364C"/>
    <w:rsid w:val="00F23C64"/>
    <w:rsid w:val="00F2535E"/>
    <w:rsid w:val="00F2545D"/>
    <w:rsid w:val="00F2616C"/>
    <w:rsid w:val="00F263CA"/>
    <w:rsid w:val="00F264CB"/>
    <w:rsid w:val="00F274D0"/>
    <w:rsid w:val="00F27A89"/>
    <w:rsid w:val="00F30078"/>
    <w:rsid w:val="00F3065A"/>
    <w:rsid w:val="00F307AB"/>
    <w:rsid w:val="00F30866"/>
    <w:rsid w:val="00F31076"/>
    <w:rsid w:val="00F3122C"/>
    <w:rsid w:val="00F31914"/>
    <w:rsid w:val="00F31B2A"/>
    <w:rsid w:val="00F320DF"/>
    <w:rsid w:val="00F32366"/>
    <w:rsid w:val="00F32536"/>
    <w:rsid w:val="00F32AE8"/>
    <w:rsid w:val="00F331E8"/>
    <w:rsid w:val="00F33AA7"/>
    <w:rsid w:val="00F3404F"/>
    <w:rsid w:val="00F34385"/>
    <w:rsid w:val="00F34625"/>
    <w:rsid w:val="00F347BC"/>
    <w:rsid w:val="00F34CC2"/>
    <w:rsid w:val="00F350CF"/>
    <w:rsid w:val="00F35936"/>
    <w:rsid w:val="00F3607C"/>
    <w:rsid w:val="00F36305"/>
    <w:rsid w:val="00F36B69"/>
    <w:rsid w:val="00F37A84"/>
    <w:rsid w:val="00F37C39"/>
    <w:rsid w:val="00F37DFB"/>
    <w:rsid w:val="00F40B45"/>
    <w:rsid w:val="00F40E16"/>
    <w:rsid w:val="00F41094"/>
    <w:rsid w:val="00F414A8"/>
    <w:rsid w:val="00F417D9"/>
    <w:rsid w:val="00F41B14"/>
    <w:rsid w:val="00F41DF5"/>
    <w:rsid w:val="00F42364"/>
    <w:rsid w:val="00F4266B"/>
    <w:rsid w:val="00F429E1"/>
    <w:rsid w:val="00F42A98"/>
    <w:rsid w:val="00F436E8"/>
    <w:rsid w:val="00F442B2"/>
    <w:rsid w:val="00F44503"/>
    <w:rsid w:val="00F44674"/>
    <w:rsid w:val="00F44A66"/>
    <w:rsid w:val="00F44B08"/>
    <w:rsid w:val="00F45251"/>
    <w:rsid w:val="00F456D4"/>
    <w:rsid w:val="00F45F71"/>
    <w:rsid w:val="00F4634A"/>
    <w:rsid w:val="00F46662"/>
    <w:rsid w:val="00F46716"/>
    <w:rsid w:val="00F46CF1"/>
    <w:rsid w:val="00F46CFA"/>
    <w:rsid w:val="00F46DEA"/>
    <w:rsid w:val="00F5050D"/>
    <w:rsid w:val="00F50547"/>
    <w:rsid w:val="00F505D9"/>
    <w:rsid w:val="00F50A92"/>
    <w:rsid w:val="00F50CDE"/>
    <w:rsid w:val="00F51516"/>
    <w:rsid w:val="00F515D8"/>
    <w:rsid w:val="00F5170F"/>
    <w:rsid w:val="00F51FA0"/>
    <w:rsid w:val="00F52928"/>
    <w:rsid w:val="00F53332"/>
    <w:rsid w:val="00F53391"/>
    <w:rsid w:val="00F53504"/>
    <w:rsid w:val="00F53514"/>
    <w:rsid w:val="00F5371D"/>
    <w:rsid w:val="00F53A87"/>
    <w:rsid w:val="00F53C19"/>
    <w:rsid w:val="00F53DD5"/>
    <w:rsid w:val="00F54BC9"/>
    <w:rsid w:val="00F55128"/>
    <w:rsid w:val="00F553BA"/>
    <w:rsid w:val="00F56222"/>
    <w:rsid w:val="00F563FB"/>
    <w:rsid w:val="00F56702"/>
    <w:rsid w:val="00F56917"/>
    <w:rsid w:val="00F578D6"/>
    <w:rsid w:val="00F579DE"/>
    <w:rsid w:val="00F60C00"/>
    <w:rsid w:val="00F610D6"/>
    <w:rsid w:val="00F61236"/>
    <w:rsid w:val="00F6125E"/>
    <w:rsid w:val="00F618A3"/>
    <w:rsid w:val="00F61A02"/>
    <w:rsid w:val="00F620D8"/>
    <w:rsid w:val="00F62132"/>
    <w:rsid w:val="00F62495"/>
    <w:rsid w:val="00F627AB"/>
    <w:rsid w:val="00F62E77"/>
    <w:rsid w:val="00F632D9"/>
    <w:rsid w:val="00F6350A"/>
    <w:rsid w:val="00F637A6"/>
    <w:rsid w:val="00F637A9"/>
    <w:rsid w:val="00F63EB9"/>
    <w:rsid w:val="00F6430F"/>
    <w:rsid w:val="00F64F54"/>
    <w:rsid w:val="00F65788"/>
    <w:rsid w:val="00F65A4D"/>
    <w:rsid w:val="00F663DC"/>
    <w:rsid w:val="00F66CAA"/>
    <w:rsid w:val="00F66EBC"/>
    <w:rsid w:val="00F67064"/>
    <w:rsid w:val="00F675AD"/>
    <w:rsid w:val="00F67A45"/>
    <w:rsid w:val="00F67B48"/>
    <w:rsid w:val="00F67E72"/>
    <w:rsid w:val="00F67F33"/>
    <w:rsid w:val="00F70344"/>
    <w:rsid w:val="00F7072A"/>
    <w:rsid w:val="00F7145F"/>
    <w:rsid w:val="00F7215A"/>
    <w:rsid w:val="00F72CC2"/>
    <w:rsid w:val="00F72D8C"/>
    <w:rsid w:val="00F7309D"/>
    <w:rsid w:val="00F73536"/>
    <w:rsid w:val="00F73559"/>
    <w:rsid w:val="00F73952"/>
    <w:rsid w:val="00F7510A"/>
    <w:rsid w:val="00F758C3"/>
    <w:rsid w:val="00F75DA2"/>
    <w:rsid w:val="00F75E47"/>
    <w:rsid w:val="00F75ECF"/>
    <w:rsid w:val="00F76DE1"/>
    <w:rsid w:val="00F77091"/>
    <w:rsid w:val="00F77A30"/>
    <w:rsid w:val="00F77B9C"/>
    <w:rsid w:val="00F77BC3"/>
    <w:rsid w:val="00F8014D"/>
    <w:rsid w:val="00F80470"/>
    <w:rsid w:val="00F80873"/>
    <w:rsid w:val="00F80D7B"/>
    <w:rsid w:val="00F80DC8"/>
    <w:rsid w:val="00F812B9"/>
    <w:rsid w:val="00F819C4"/>
    <w:rsid w:val="00F81C8D"/>
    <w:rsid w:val="00F81E9C"/>
    <w:rsid w:val="00F82484"/>
    <w:rsid w:val="00F82614"/>
    <w:rsid w:val="00F82A96"/>
    <w:rsid w:val="00F82C4C"/>
    <w:rsid w:val="00F82D28"/>
    <w:rsid w:val="00F833F5"/>
    <w:rsid w:val="00F84574"/>
    <w:rsid w:val="00F849DF"/>
    <w:rsid w:val="00F84B39"/>
    <w:rsid w:val="00F8500D"/>
    <w:rsid w:val="00F854D2"/>
    <w:rsid w:val="00F85A19"/>
    <w:rsid w:val="00F86C2A"/>
    <w:rsid w:val="00F87A3B"/>
    <w:rsid w:val="00F87E35"/>
    <w:rsid w:val="00F90CB3"/>
    <w:rsid w:val="00F90D86"/>
    <w:rsid w:val="00F90F7B"/>
    <w:rsid w:val="00F91301"/>
    <w:rsid w:val="00F9171C"/>
    <w:rsid w:val="00F91A4E"/>
    <w:rsid w:val="00F91C20"/>
    <w:rsid w:val="00F922F1"/>
    <w:rsid w:val="00F924FA"/>
    <w:rsid w:val="00F925E0"/>
    <w:rsid w:val="00F92F5A"/>
    <w:rsid w:val="00F93180"/>
    <w:rsid w:val="00F9324C"/>
    <w:rsid w:val="00F94B8E"/>
    <w:rsid w:val="00F94D35"/>
    <w:rsid w:val="00F95110"/>
    <w:rsid w:val="00F958D9"/>
    <w:rsid w:val="00F95908"/>
    <w:rsid w:val="00F95E83"/>
    <w:rsid w:val="00F9620A"/>
    <w:rsid w:val="00F9631B"/>
    <w:rsid w:val="00F9693A"/>
    <w:rsid w:val="00F96C79"/>
    <w:rsid w:val="00F97448"/>
    <w:rsid w:val="00F975CB"/>
    <w:rsid w:val="00F97F59"/>
    <w:rsid w:val="00FA0029"/>
    <w:rsid w:val="00FA02C6"/>
    <w:rsid w:val="00FA07B8"/>
    <w:rsid w:val="00FA0E64"/>
    <w:rsid w:val="00FA104E"/>
    <w:rsid w:val="00FA19EF"/>
    <w:rsid w:val="00FA1BAD"/>
    <w:rsid w:val="00FA2492"/>
    <w:rsid w:val="00FA24AF"/>
    <w:rsid w:val="00FA30AD"/>
    <w:rsid w:val="00FA3289"/>
    <w:rsid w:val="00FA3397"/>
    <w:rsid w:val="00FA39FA"/>
    <w:rsid w:val="00FA3B1F"/>
    <w:rsid w:val="00FA3EEA"/>
    <w:rsid w:val="00FA49B3"/>
    <w:rsid w:val="00FA5527"/>
    <w:rsid w:val="00FA60BC"/>
    <w:rsid w:val="00FA6477"/>
    <w:rsid w:val="00FA699F"/>
    <w:rsid w:val="00FA6AA8"/>
    <w:rsid w:val="00FA6B7B"/>
    <w:rsid w:val="00FA6CA5"/>
    <w:rsid w:val="00FA703A"/>
    <w:rsid w:val="00FA71AB"/>
    <w:rsid w:val="00FA7288"/>
    <w:rsid w:val="00FA775A"/>
    <w:rsid w:val="00FB0437"/>
    <w:rsid w:val="00FB0F2F"/>
    <w:rsid w:val="00FB19DD"/>
    <w:rsid w:val="00FB21DF"/>
    <w:rsid w:val="00FB2739"/>
    <w:rsid w:val="00FB30D0"/>
    <w:rsid w:val="00FB3201"/>
    <w:rsid w:val="00FB3424"/>
    <w:rsid w:val="00FB3530"/>
    <w:rsid w:val="00FB490E"/>
    <w:rsid w:val="00FB4BDC"/>
    <w:rsid w:val="00FB516D"/>
    <w:rsid w:val="00FB525F"/>
    <w:rsid w:val="00FB5548"/>
    <w:rsid w:val="00FB6087"/>
    <w:rsid w:val="00FB6917"/>
    <w:rsid w:val="00FB6DE8"/>
    <w:rsid w:val="00FB7549"/>
    <w:rsid w:val="00FB7BC1"/>
    <w:rsid w:val="00FB7D3A"/>
    <w:rsid w:val="00FC0C11"/>
    <w:rsid w:val="00FC0EC0"/>
    <w:rsid w:val="00FC1107"/>
    <w:rsid w:val="00FC11E4"/>
    <w:rsid w:val="00FC290C"/>
    <w:rsid w:val="00FC30BA"/>
    <w:rsid w:val="00FC456B"/>
    <w:rsid w:val="00FC5FC6"/>
    <w:rsid w:val="00FC60FF"/>
    <w:rsid w:val="00FC6289"/>
    <w:rsid w:val="00FC690B"/>
    <w:rsid w:val="00FC6A9D"/>
    <w:rsid w:val="00FC7117"/>
    <w:rsid w:val="00FC75C1"/>
    <w:rsid w:val="00FC77A1"/>
    <w:rsid w:val="00FC7E0A"/>
    <w:rsid w:val="00FD00B1"/>
    <w:rsid w:val="00FD03E2"/>
    <w:rsid w:val="00FD0847"/>
    <w:rsid w:val="00FD0B24"/>
    <w:rsid w:val="00FD0CFD"/>
    <w:rsid w:val="00FD11D8"/>
    <w:rsid w:val="00FD1205"/>
    <w:rsid w:val="00FD15C4"/>
    <w:rsid w:val="00FD180F"/>
    <w:rsid w:val="00FD1C8B"/>
    <w:rsid w:val="00FD214E"/>
    <w:rsid w:val="00FD2284"/>
    <w:rsid w:val="00FD256D"/>
    <w:rsid w:val="00FD274B"/>
    <w:rsid w:val="00FD3CD4"/>
    <w:rsid w:val="00FD3E86"/>
    <w:rsid w:val="00FD407B"/>
    <w:rsid w:val="00FD4193"/>
    <w:rsid w:val="00FD425C"/>
    <w:rsid w:val="00FD4338"/>
    <w:rsid w:val="00FD4488"/>
    <w:rsid w:val="00FD4BD0"/>
    <w:rsid w:val="00FD4BD3"/>
    <w:rsid w:val="00FD5659"/>
    <w:rsid w:val="00FD5959"/>
    <w:rsid w:val="00FD61F7"/>
    <w:rsid w:val="00FD66CD"/>
    <w:rsid w:val="00FD685C"/>
    <w:rsid w:val="00FD6A0D"/>
    <w:rsid w:val="00FD7000"/>
    <w:rsid w:val="00FD779A"/>
    <w:rsid w:val="00FE0008"/>
    <w:rsid w:val="00FE01B3"/>
    <w:rsid w:val="00FE0BA9"/>
    <w:rsid w:val="00FE0FAF"/>
    <w:rsid w:val="00FE1131"/>
    <w:rsid w:val="00FE1604"/>
    <w:rsid w:val="00FE17A7"/>
    <w:rsid w:val="00FE19C3"/>
    <w:rsid w:val="00FE1AC1"/>
    <w:rsid w:val="00FE1E4D"/>
    <w:rsid w:val="00FE1FDB"/>
    <w:rsid w:val="00FE2337"/>
    <w:rsid w:val="00FE2672"/>
    <w:rsid w:val="00FE306B"/>
    <w:rsid w:val="00FE348A"/>
    <w:rsid w:val="00FE3BF5"/>
    <w:rsid w:val="00FE3C54"/>
    <w:rsid w:val="00FE40FF"/>
    <w:rsid w:val="00FE413D"/>
    <w:rsid w:val="00FE4313"/>
    <w:rsid w:val="00FE4D7D"/>
    <w:rsid w:val="00FE55DD"/>
    <w:rsid w:val="00FE5914"/>
    <w:rsid w:val="00FE5C90"/>
    <w:rsid w:val="00FE5CD2"/>
    <w:rsid w:val="00FE5EF6"/>
    <w:rsid w:val="00FE68EA"/>
    <w:rsid w:val="00FE690D"/>
    <w:rsid w:val="00FE6DC4"/>
    <w:rsid w:val="00FE6FF2"/>
    <w:rsid w:val="00FE7144"/>
    <w:rsid w:val="00FE755D"/>
    <w:rsid w:val="00FE79F8"/>
    <w:rsid w:val="00FE7FC1"/>
    <w:rsid w:val="00FF0252"/>
    <w:rsid w:val="00FF0B4A"/>
    <w:rsid w:val="00FF1159"/>
    <w:rsid w:val="00FF12E5"/>
    <w:rsid w:val="00FF1703"/>
    <w:rsid w:val="00FF184F"/>
    <w:rsid w:val="00FF190A"/>
    <w:rsid w:val="00FF1C42"/>
    <w:rsid w:val="00FF292F"/>
    <w:rsid w:val="00FF2A9F"/>
    <w:rsid w:val="00FF2F10"/>
    <w:rsid w:val="00FF30DC"/>
    <w:rsid w:val="00FF3F88"/>
    <w:rsid w:val="00FF3FB5"/>
    <w:rsid w:val="00FF42E7"/>
    <w:rsid w:val="00FF4A8E"/>
    <w:rsid w:val="00FF4F04"/>
    <w:rsid w:val="00FF50DD"/>
    <w:rsid w:val="00FF5EC2"/>
    <w:rsid w:val="00FF60FE"/>
    <w:rsid w:val="00FF6727"/>
    <w:rsid w:val="00FF68DC"/>
    <w:rsid w:val="00FF6E62"/>
    <w:rsid w:val="00FF7855"/>
    <w:rsid w:val="00FF7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674D329C"/>
  <w15:docId w15:val="{136B6F6F-34A8-4CF6-AC7B-47E7EDC2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7AB"/>
    <w:rPr>
      <w:rFonts w:ascii="Arial" w:hAnsi="Arial" w:cs="Arial"/>
      <w:sz w:val="22"/>
      <w:szCs w:val="22"/>
      <w:lang w:eastAsia="en-US"/>
    </w:rPr>
  </w:style>
  <w:style w:type="paragraph" w:styleId="Heading1">
    <w:name w:val="heading 1"/>
    <w:basedOn w:val="Normal"/>
    <w:next w:val="Normal"/>
    <w:link w:val="Heading1Char"/>
    <w:qFormat/>
    <w:rsid w:val="00321F67"/>
    <w:pPr>
      <w:keepNext/>
      <w:outlineLvl w:val="0"/>
    </w:pPr>
    <w:rPr>
      <w:b/>
      <w:bCs/>
      <w:u w:val="single"/>
    </w:rPr>
  </w:style>
  <w:style w:type="paragraph" w:styleId="Heading2">
    <w:name w:val="heading 2"/>
    <w:basedOn w:val="Normal"/>
    <w:next w:val="Normal"/>
    <w:qFormat/>
    <w:rsid w:val="00321F67"/>
    <w:pPr>
      <w:keepNext/>
      <w:outlineLvl w:val="1"/>
    </w:pPr>
    <w:rPr>
      <w:b/>
      <w:bCs/>
      <w:i/>
      <w:iCs/>
    </w:rPr>
  </w:style>
  <w:style w:type="paragraph" w:styleId="Heading3">
    <w:name w:val="heading 3"/>
    <w:basedOn w:val="Normal"/>
    <w:next w:val="Normal"/>
    <w:qFormat/>
    <w:rsid w:val="00321F67"/>
    <w:pPr>
      <w:keepNext/>
      <w:outlineLvl w:val="2"/>
    </w:pPr>
    <w:rPr>
      <w:b/>
      <w:bCs/>
    </w:rPr>
  </w:style>
  <w:style w:type="paragraph" w:styleId="Heading4">
    <w:name w:val="heading 4"/>
    <w:basedOn w:val="Normal"/>
    <w:next w:val="Normal"/>
    <w:qFormat/>
    <w:rsid w:val="00321F67"/>
    <w:pPr>
      <w:keepNext/>
      <w:outlineLvl w:val="3"/>
    </w:pPr>
    <w:rPr>
      <w:u w:val="single"/>
    </w:rPr>
  </w:style>
  <w:style w:type="paragraph" w:styleId="Heading5">
    <w:name w:val="heading 5"/>
    <w:basedOn w:val="Normal"/>
    <w:next w:val="Normal"/>
    <w:qFormat/>
    <w:rsid w:val="00321F67"/>
    <w:pPr>
      <w:keepNext/>
      <w:jc w:val="center"/>
      <w:outlineLvl w:val="4"/>
    </w:pPr>
    <w:rPr>
      <w:b/>
      <w:bCs/>
      <w:u w:val="single"/>
    </w:rPr>
  </w:style>
  <w:style w:type="paragraph" w:styleId="Heading6">
    <w:name w:val="heading 6"/>
    <w:basedOn w:val="Normal"/>
    <w:next w:val="Normal"/>
    <w:qFormat/>
    <w:rsid w:val="00321F67"/>
    <w:pPr>
      <w:keepNext/>
      <w:jc w:val="center"/>
      <w:outlineLvl w:val="5"/>
    </w:pPr>
    <w:rPr>
      <w:b/>
      <w:bCs/>
    </w:rPr>
  </w:style>
  <w:style w:type="paragraph" w:styleId="Heading7">
    <w:name w:val="heading 7"/>
    <w:basedOn w:val="Normal"/>
    <w:next w:val="Normal"/>
    <w:qFormat/>
    <w:rsid w:val="00321F67"/>
    <w:pPr>
      <w:keepNext/>
      <w:jc w:val="both"/>
      <w:outlineLvl w:val="6"/>
    </w:pPr>
    <w:rPr>
      <w:b/>
      <w:bCs/>
      <w:u w:val="single"/>
    </w:rPr>
  </w:style>
  <w:style w:type="paragraph" w:styleId="Heading8">
    <w:name w:val="heading 8"/>
    <w:basedOn w:val="Normal"/>
    <w:next w:val="Normal"/>
    <w:qFormat/>
    <w:rsid w:val="00321F67"/>
    <w:pPr>
      <w:keepNext/>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1F67"/>
    <w:pPr>
      <w:tabs>
        <w:tab w:val="center" w:pos="4153"/>
        <w:tab w:val="right" w:pos="8306"/>
      </w:tabs>
    </w:pPr>
  </w:style>
  <w:style w:type="paragraph" w:styleId="Footer">
    <w:name w:val="footer"/>
    <w:basedOn w:val="Normal"/>
    <w:rsid w:val="00321F67"/>
    <w:pPr>
      <w:tabs>
        <w:tab w:val="center" w:pos="4153"/>
        <w:tab w:val="right" w:pos="8306"/>
      </w:tabs>
    </w:pPr>
  </w:style>
  <w:style w:type="character" w:styleId="PageNumber">
    <w:name w:val="page number"/>
    <w:basedOn w:val="DefaultParagraphFont"/>
    <w:rsid w:val="00321F67"/>
  </w:style>
  <w:style w:type="paragraph" w:styleId="BodyText">
    <w:name w:val="Body Text"/>
    <w:basedOn w:val="Normal"/>
    <w:link w:val="BodyTextChar"/>
    <w:rsid w:val="00321F67"/>
    <w:pPr>
      <w:jc w:val="both"/>
    </w:pPr>
  </w:style>
  <w:style w:type="paragraph" w:styleId="BodyText2">
    <w:name w:val="Body Text 2"/>
    <w:basedOn w:val="Normal"/>
    <w:link w:val="BodyText2Char"/>
    <w:rsid w:val="00321F67"/>
    <w:rPr>
      <w:b/>
      <w:bCs/>
    </w:rPr>
  </w:style>
  <w:style w:type="paragraph" w:styleId="ListBullet">
    <w:name w:val="List Bullet"/>
    <w:basedOn w:val="Normal"/>
    <w:autoRedefine/>
    <w:rsid w:val="00321F67"/>
    <w:pPr>
      <w:numPr>
        <w:numId w:val="1"/>
      </w:numPr>
    </w:pPr>
  </w:style>
  <w:style w:type="paragraph" w:customStyle="1" w:styleId="Dash">
    <w:name w:val="Dash"/>
    <w:basedOn w:val="Normal"/>
    <w:rsid w:val="00321F67"/>
    <w:pPr>
      <w:tabs>
        <w:tab w:val="left" w:pos="216"/>
      </w:tabs>
      <w:jc w:val="both"/>
    </w:pPr>
    <w:rPr>
      <w:szCs w:val="20"/>
    </w:rPr>
  </w:style>
  <w:style w:type="character" w:styleId="Hyperlink">
    <w:name w:val="Hyperlink"/>
    <w:basedOn w:val="DefaultParagraphFont"/>
    <w:rsid w:val="00C2022C"/>
    <w:rPr>
      <w:color w:val="0000FF"/>
      <w:u w:val="single"/>
    </w:rPr>
  </w:style>
  <w:style w:type="paragraph" w:styleId="DocumentMap">
    <w:name w:val="Document Map"/>
    <w:basedOn w:val="Normal"/>
    <w:semiHidden/>
    <w:rsid w:val="00494EFE"/>
    <w:pPr>
      <w:shd w:val="clear" w:color="auto" w:fill="000080"/>
    </w:pPr>
    <w:rPr>
      <w:rFonts w:ascii="Tahoma" w:hAnsi="Tahoma" w:cs="Tahoma"/>
      <w:sz w:val="20"/>
      <w:szCs w:val="20"/>
    </w:rPr>
  </w:style>
  <w:style w:type="paragraph" w:styleId="BodyText3">
    <w:name w:val="Body Text 3"/>
    <w:basedOn w:val="Normal"/>
    <w:rsid w:val="00A72BBE"/>
    <w:pPr>
      <w:spacing w:after="120"/>
    </w:pPr>
    <w:rPr>
      <w:sz w:val="16"/>
      <w:szCs w:val="16"/>
    </w:rPr>
  </w:style>
  <w:style w:type="paragraph" w:styleId="BodyTextIndent">
    <w:name w:val="Body Text Indent"/>
    <w:basedOn w:val="Normal"/>
    <w:link w:val="BodyTextIndentChar"/>
    <w:rsid w:val="004E3D33"/>
    <w:pPr>
      <w:spacing w:after="120"/>
      <w:ind w:left="283"/>
    </w:pPr>
  </w:style>
  <w:style w:type="paragraph" w:styleId="NormalWeb">
    <w:name w:val="Normal (Web)"/>
    <w:basedOn w:val="Normal"/>
    <w:uiPriority w:val="99"/>
    <w:rsid w:val="00F4634A"/>
    <w:pPr>
      <w:spacing w:before="100" w:beforeAutospacing="1"/>
    </w:pPr>
    <w:rPr>
      <w:rFonts w:ascii="Times New Roman" w:hAnsi="Times New Roman" w:cs="Times New Roman"/>
      <w:sz w:val="24"/>
      <w:szCs w:val="24"/>
      <w:lang w:eastAsia="en-GB"/>
    </w:rPr>
  </w:style>
  <w:style w:type="character" w:customStyle="1" w:styleId="BodyTextIndentChar">
    <w:name w:val="Body Text Indent Char"/>
    <w:basedOn w:val="DefaultParagraphFont"/>
    <w:link w:val="BodyTextIndent"/>
    <w:rsid w:val="007000E1"/>
    <w:rPr>
      <w:rFonts w:ascii="Arial" w:hAnsi="Arial" w:cs="Arial"/>
      <w:sz w:val="22"/>
      <w:szCs w:val="22"/>
      <w:lang w:val="en-GB" w:eastAsia="en-US" w:bidi="ar-SA"/>
    </w:rPr>
  </w:style>
  <w:style w:type="character" w:customStyle="1" w:styleId="BodyTextChar">
    <w:name w:val="Body Text Char"/>
    <w:basedOn w:val="DefaultParagraphFont"/>
    <w:link w:val="BodyText"/>
    <w:rsid w:val="007000E1"/>
    <w:rPr>
      <w:rFonts w:ascii="Arial" w:hAnsi="Arial" w:cs="Arial"/>
      <w:sz w:val="22"/>
      <w:szCs w:val="22"/>
      <w:lang w:val="en-GB" w:eastAsia="en-US" w:bidi="ar-SA"/>
    </w:rPr>
  </w:style>
  <w:style w:type="character" w:customStyle="1" w:styleId="BodyText2Char">
    <w:name w:val="Body Text 2 Char"/>
    <w:basedOn w:val="DefaultParagraphFont"/>
    <w:link w:val="BodyText2"/>
    <w:rsid w:val="007000E1"/>
    <w:rPr>
      <w:rFonts w:ascii="Arial" w:hAnsi="Arial" w:cs="Arial"/>
      <w:b/>
      <w:bCs/>
      <w:sz w:val="22"/>
      <w:szCs w:val="22"/>
      <w:lang w:val="en-GB" w:eastAsia="en-US" w:bidi="ar-SA"/>
    </w:rPr>
  </w:style>
  <w:style w:type="character" w:styleId="Strong">
    <w:name w:val="Strong"/>
    <w:basedOn w:val="DefaultParagraphFont"/>
    <w:qFormat/>
    <w:rsid w:val="001405A0"/>
    <w:rPr>
      <w:b/>
      <w:bCs/>
    </w:rPr>
  </w:style>
  <w:style w:type="paragraph" w:styleId="ListParagraph">
    <w:name w:val="List Paragraph"/>
    <w:basedOn w:val="Normal"/>
    <w:uiPriority w:val="34"/>
    <w:qFormat/>
    <w:rsid w:val="00467AD6"/>
    <w:pPr>
      <w:ind w:left="720"/>
      <w:contextualSpacing/>
    </w:pPr>
    <w:rPr>
      <w:rFonts w:ascii="Times New Roman" w:hAnsi="Times New Roman" w:cs="Times New Roman"/>
      <w:sz w:val="24"/>
      <w:szCs w:val="24"/>
      <w:lang w:val="en-US"/>
    </w:rPr>
  </w:style>
  <w:style w:type="character" w:customStyle="1" w:styleId="Heading1Char">
    <w:name w:val="Heading 1 Char"/>
    <w:basedOn w:val="DefaultParagraphFont"/>
    <w:link w:val="Heading1"/>
    <w:rsid w:val="00062C05"/>
    <w:rPr>
      <w:rFonts w:ascii="Arial" w:hAnsi="Arial" w:cs="Arial"/>
      <w:b/>
      <w:bCs/>
      <w:sz w:val="22"/>
      <w:szCs w:val="22"/>
      <w:u w:val="single"/>
      <w:lang w:val="en-GB"/>
    </w:rPr>
  </w:style>
  <w:style w:type="character" w:customStyle="1" w:styleId="HeaderChar">
    <w:name w:val="Header Char"/>
    <w:basedOn w:val="DefaultParagraphFont"/>
    <w:link w:val="Header"/>
    <w:uiPriority w:val="99"/>
    <w:rsid w:val="00E5295C"/>
    <w:rPr>
      <w:rFonts w:ascii="Arial" w:hAnsi="Arial" w:cs="Arial"/>
      <w:sz w:val="22"/>
      <w:szCs w:val="22"/>
      <w:lang w:val="en-GB"/>
    </w:rPr>
  </w:style>
  <w:style w:type="paragraph" w:styleId="BodyTextIndent3">
    <w:name w:val="Body Text Indent 3"/>
    <w:basedOn w:val="Normal"/>
    <w:link w:val="BodyTextIndent3Char"/>
    <w:rsid w:val="00691D6F"/>
    <w:pPr>
      <w:spacing w:after="120"/>
      <w:ind w:left="283"/>
    </w:pPr>
    <w:rPr>
      <w:sz w:val="16"/>
      <w:szCs w:val="16"/>
    </w:rPr>
  </w:style>
  <w:style w:type="character" w:customStyle="1" w:styleId="BodyTextIndent3Char">
    <w:name w:val="Body Text Indent 3 Char"/>
    <w:basedOn w:val="DefaultParagraphFont"/>
    <w:link w:val="BodyTextIndent3"/>
    <w:rsid w:val="00691D6F"/>
    <w:rPr>
      <w:rFonts w:ascii="Arial" w:hAnsi="Arial" w:cs="Arial"/>
      <w:sz w:val="16"/>
      <w:szCs w:val="16"/>
      <w:lang w:val="en-GB"/>
    </w:rPr>
  </w:style>
  <w:style w:type="paragraph" w:styleId="NoSpacing">
    <w:name w:val="No Spacing"/>
    <w:uiPriority w:val="1"/>
    <w:qFormat/>
    <w:rsid w:val="003F1CE1"/>
    <w:rPr>
      <w:rFonts w:ascii="Calibri" w:eastAsia="Calibri" w:hAnsi="Calibri"/>
      <w:sz w:val="22"/>
      <w:szCs w:val="22"/>
      <w:lang w:eastAsia="en-US"/>
    </w:rPr>
  </w:style>
  <w:style w:type="paragraph" w:styleId="BodyTextIndent2">
    <w:name w:val="Body Text Indent 2"/>
    <w:basedOn w:val="Normal"/>
    <w:link w:val="BodyTextIndent2Char"/>
    <w:rsid w:val="0072703A"/>
    <w:pPr>
      <w:spacing w:after="120" w:line="480" w:lineRule="auto"/>
      <w:ind w:left="283"/>
    </w:pPr>
  </w:style>
  <w:style w:type="character" w:customStyle="1" w:styleId="BodyTextIndent2Char">
    <w:name w:val="Body Text Indent 2 Char"/>
    <w:basedOn w:val="DefaultParagraphFont"/>
    <w:link w:val="BodyTextIndent2"/>
    <w:rsid w:val="0072703A"/>
    <w:rPr>
      <w:rFonts w:ascii="Arial" w:hAnsi="Arial" w:cs="Arial"/>
      <w:sz w:val="22"/>
      <w:szCs w:val="22"/>
      <w:lang w:val="en-GB"/>
    </w:rPr>
  </w:style>
  <w:style w:type="paragraph" w:customStyle="1" w:styleId="DefaultText">
    <w:name w:val="Default Text"/>
    <w:rsid w:val="00973F1C"/>
    <w:pPr>
      <w:autoSpaceDE w:val="0"/>
      <w:autoSpaceDN w:val="0"/>
      <w:adjustRightInd w:val="0"/>
    </w:pPr>
    <w:rPr>
      <w:color w:val="000000"/>
      <w:sz w:val="24"/>
      <w:szCs w:val="24"/>
      <w:lang w:val="en-US" w:eastAsia="en-US"/>
    </w:rPr>
  </w:style>
  <w:style w:type="paragraph" w:styleId="PlainText">
    <w:name w:val="Plain Text"/>
    <w:basedOn w:val="Normal"/>
    <w:link w:val="PlainTextChar"/>
    <w:uiPriority w:val="99"/>
    <w:unhideWhenUsed/>
    <w:rsid w:val="001D3354"/>
    <w:rPr>
      <w:rFonts w:eastAsia="Calibri" w:cs="Consolas"/>
      <w:szCs w:val="21"/>
      <w:lang w:val="en-US"/>
    </w:rPr>
  </w:style>
  <w:style w:type="character" w:customStyle="1" w:styleId="PlainTextChar">
    <w:name w:val="Plain Text Char"/>
    <w:basedOn w:val="DefaultParagraphFont"/>
    <w:link w:val="PlainText"/>
    <w:uiPriority w:val="99"/>
    <w:rsid w:val="001D3354"/>
    <w:rPr>
      <w:rFonts w:ascii="Arial" w:eastAsia="Calibri" w:hAnsi="Arial" w:cs="Consolas"/>
      <w:sz w:val="22"/>
      <w:szCs w:val="21"/>
    </w:rPr>
  </w:style>
  <w:style w:type="paragraph" w:styleId="BalloonText">
    <w:name w:val="Balloon Text"/>
    <w:basedOn w:val="Normal"/>
    <w:link w:val="BalloonTextChar"/>
    <w:rsid w:val="00D14EBB"/>
    <w:rPr>
      <w:rFonts w:ascii="Tahoma" w:hAnsi="Tahoma" w:cs="Tahoma"/>
      <w:sz w:val="16"/>
      <w:szCs w:val="16"/>
    </w:rPr>
  </w:style>
  <w:style w:type="character" w:customStyle="1" w:styleId="BalloonTextChar">
    <w:name w:val="Balloon Text Char"/>
    <w:basedOn w:val="DefaultParagraphFont"/>
    <w:link w:val="BalloonText"/>
    <w:rsid w:val="00D14EBB"/>
    <w:rPr>
      <w:rFonts w:ascii="Tahoma" w:hAnsi="Tahoma" w:cs="Tahoma"/>
      <w:sz w:val="16"/>
      <w:szCs w:val="16"/>
      <w:lang w:eastAsia="en-US"/>
    </w:rPr>
  </w:style>
  <w:style w:type="character" w:styleId="CommentReference">
    <w:name w:val="annotation reference"/>
    <w:basedOn w:val="DefaultParagraphFont"/>
    <w:rsid w:val="00B4407D"/>
    <w:rPr>
      <w:sz w:val="16"/>
      <w:szCs w:val="16"/>
    </w:rPr>
  </w:style>
  <w:style w:type="paragraph" w:styleId="CommentText">
    <w:name w:val="annotation text"/>
    <w:basedOn w:val="Normal"/>
    <w:link w:val="CommentTextChar"/>
    <w:rsid w:val="00B4407D"/>
    <w:rPr>
      <w:sz w:val="20"/>
      <w:szCs w:val="20"/>
    </w:rPr>
  </w:style>
  <w:style w:type="character" w:customStyle="1" w:styleId="CommentTextChar">
    <w:name w:val="Comment Text Char"/>
    <w:basedOn w:val="DefaultParagraphFont"/>
    <w:link w:val="CommentText"/>
    <w:rsid w:val="00B4407D"/>
    <w:rPr>
      <w:rFonts w:ascii="Arial" w:hAnsi="Arial" w:cs="Arial"/>
      <w:lang w:eastAsia="en-US"/>
    </w:rPr>
  </w:style>
  <w:style w:type="paragraph" w:styleId="CommentSubject">
    <w:name w:val="annotation subject"/>
    <w:basedOn w:val="CommentText"/>
    <w:next w:val="CommentText"/>
    <w:link w:val="CommentSubjectChar"/>
    <w:rsid w:val="00B4407D"/>
    <w:rPr>
      <w:b/>
      <w:bCs/>
    </w:rPr>
  </w:style>
  <w:style w:type="character" w:customStyle="1" w:styleId="CommentSubjectChar">
    <w:name w:val="Comment Subject Char"/>
    <w:basedOn w:val="CommentTextChar"/>
    <w:link w:val="CommentSubject"/>
    <w:rsid w:val="00B4407D"/>
    <w:rPr>
      <w:rFonts w:ascii="Arial" w:hAnsi="Arial" w:cs="Arial"/>
      <w:b/>
      <w:bCs/>
      <w:lang w:eastAsia="en-US"/>
    </w:rPr>
  </w:style>
  <w:style w:type="paragraph" w:customStyle="1" w:styleId="Legal2">
    <w:name w:val="Legal 2"/>
    <w:basedOn w:val="Normal"/>
    <w:rsid w:val="00842F91"/>
    <w:pPr>
      <w:tabs>
        <w:tab w:val="num" w:pos="1440"/>
      </w:tabs>
      <w:spacing w:after="240"/>
      <w:ind w:left="1440" w:hanging="720"/>
      <w:jc w:val="both"/>
      <w:outlineLvl w:val="1"/>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0122">
      <w:bodyDiv w:val="1"/>
      <w:marLeft w:val="0"/>
      <w:marRight w:val="0"/>
      <w:marTop w:val="0"/>
      <w:marBottom w:val="0"/>
      <w:divBdr>
        <w:top w:val="none" w:sz="0" w:space="0" w:color="auto"/>
        <w:left w:val="none" w:sz="0" w:space="0" w:color="auto"/>
        <w:bottom w:val="none" w:sz="0" w:space="0" w:color="auto"/>
        <w:right w:val="none" w:sz="0" w:space="0" w:color="auto"/>
      </w:divBdr>
    </w:div>
    <w:div w:id="232355953">
      <w:bodyDiv w:val="1"/>
      <w:marLeft w:val="0"/>
      <w:marRight w:val="0"/>
      <w:marTop w:val="0"/>
      <w:marBottom w:val="0"/>
      <w:divBdr>
        <w:top w:val="none" w:sz="0" w:space="0" w:color="auto"/>
        <w:left w:val="none" w:sz="0" w:space="0" w:color="auto"/>
        <w:bottom w:val="none" w:sz="0" w:space="0" w:color="auto"/>
        <w:right w:val="none" w:sz="0" w:space="0" w:color="auto"/>
      </w:divBdr>
    </w:div>
    <w:div w:id="374233972">
      <w:bodyDiv w:val="1"/>
      <w:marLeft w:val="0"/>
      <w:marRight w:val="0"/>
      <w:marTop w:val="0"/>
      <w:marBottom w:val="0"/>
      <w:divBdr>
        <w:top w:val="none" w:sz="0" w:space="0" w:color="auto"/>
        <w:left w:val="none" w:sz="0" w:space="0" w:color="auto"/>
        <w:bottom w:val="none" w:sz="0" w:space="0" w:color="auto"/>
        <w:right w:val="none" w:sz="0" w:space="0" w:color="auto"/>
      </w:divBdr>
      <w:divsChild>
        <w:div w:id="1011376872">
          <w:marLeft w:val="0"/>
          <w:marRight w:val="0"/>
          <w:marTop w:val="0"/>
          <w:marBottom w:val="0"/>
          <w:divBdr>
            <w:top w:val="none" w:sz="0" w:space="0" w:color="auto"/>
            <w:left w:val="none" w:sz="0" w:space="0" w:color="auto"/>
            <w:bottom w:val="none" w:sz="0" w:space="0" w:color="auto"/>
            <w:right w:val="none" w:sz="0" w:space="0" w:color="auto"/>
          </w:divBdr>
          <w:divsChild>
            <w:div w:id="304118908">
              <w:marLeft w:val="0"/>
              <w:marRight w:val="0"/>
              <w:marTop w:val="0"/>
              <w:marBottom w:val="0"/>
              <w:divBdr>
                <w:top w:val="none" w:sz="0" w:space="0" w:color="auto"/>
                <w:left w:val="none" w:sz="0" w:space="0" w:color="auto"/>
                <w:bottom w:val="none" w:sz="0" w:space="0" w:color="auto"/>
                <w:right w:val="none" w:sz="0" w:space="0" w:color="auto"/>
              </w:divBdr>
              <w:divsChild>
                <w:div w:id="1097598520">
                  <w:marLeft w:val="0"/>
                  <w:marRight w:val="0"/>
                  <w:marTop w:val="0"/>
                  <w:marBottom w:val="0"/>
                  <w:divBdr>
                    <w:top w:val="none" w:sz="0" w:space="0" w:color="auto"/>
                    <w:left w:val="none" w:sz="0" w:space="0" w:color="auto"/>
                    <w:bottom w:val="none" w:sz="0" w:space="0" w:color="auto"/>
                    <w:right w:val="none" w:sz="0" w:space="0" w:color="auto"/>
                  </w:divBdr>
                  <w:divsChild>
                    <w:div w:id="2053577198">
                      <w:marLeft w:val="0"/>
                      <w:marRight w:val="0"/>
                      <w:marTop w:val="0"/>
                      <w:marBottom w:val="0"/>
                      <w:divBdr>
                        <w:top w:val="none" w:sz="0" w:space="0" w:color="auto"/>
                        <w:left w:val="none" w:sz="0" w:space="0" w:color="auto"/>
                        <w:bottom w:val="none" w:sz="0" w:space="0" w:color="auto"/>
                        <w:right w:val="none" w:sz="0" w:space="0" w:color="auto"/>
                      </w:divBdr>
                      <w:divsChild>
                        <w:div w:id="8841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26799">
      <w:bodyDiv w:val="1"/>
      <w:marLeft w:val="0"/>
      <w:marRight w:val="0"/>
      <w:marTop w:val="0"/>
      <w:marBottom w:val="0"/>
      <w:divBdr>
        <w:top w:val="none" w:sz="0" w:space="0" w:color="auto"/>
        <w:left w:val="none" w:sz="0" w:space="0" w:color="auto"/>
        <w:bottom w:val="none" w:sz="0" w:space="0" w:color="auto"/>
        <w:right w:val="none" w:sz="0" w:space="0" w:color="auto"/>
      </w:divBdr>
    </w:div>
    <w:div w:id="405222893">
      <w:bodyDiv w:val="1"/>
      <w:marLeft w:val="0"/>
      <w:marRight w:val="0"/>
      <w:marTop w:val="0"/>
      <w:marBottom w:val="0"/>
      <w:divBdr>
        <w:top w:val="none" w:sz="0" w:space="0" w:color="auto"/>
        <w:left w:val="none" w:sz="0" w:space="0" w:color="auto"/>
        <w:bottom w:val="none" w:sz="0" w:space="0" w:color="auto"/>
        <w:right w:val="none" w:sz="0" w:space="0" w:color="auto"/>
      </w:divBdr>
    </w:div>
    <w:div w:id="491944731">
      <w:bodyDiv w:val="1"/>
      <w:marLeft w:val="0"/>
      <w:marRight w:val="0"/>
      <w:marTop w:val="0"/>
      <w:marBottom w:val="0"/>
      <w:divBdr>
        <w:top w:val="none" w:sz="0" w:space="0" w:color="auto"/>
        <w:left w:val="none" w:sz="0" w:space="0" w:color="auto"/>
        <w:bottom w:val="none" w:sz="0" w:space="0" w:color="auto"/>
        <w:right w:val="none" w:sz="0" w:space="0" w:color="auto"/>
      </w:divBdr>
    </w:div>
    <w:div w:id="532966127">
      <w:bodyDiv w:val="1"/>
      <w:marLeft w:val="0"/>
      <w:marRight w:val="0"/>
      <w:marTop w:val="0"/>
      <w:marBottom w:val="0"/>
      <w:divBdr>
        <w:top w:val="none" w:sz="0" w:space="0" w:color="auto"/>
        <w:left w:val="none" w:sz="0" w:space="0" w:color="auto"/>
        <w:bottom w:val="none" w:sz="0" w:space="0" w:color="auto"/>
        <w:right w:val="none" w:sz="0" w:space="0" w:color="auto"/>
      </w:divBdr>
    </w:div>
    <w:div w:id="537400329">
      <w:bodyDiv w:val="1"/>
      <w:marLeft w:val="0"/>
      <w:marRight w:val="0"/>
      <w:marTop w:val="0"/>
      <w:marBottom w:val="0"/>
      <w:divBdr>
        <w:top w:val="none" w:sz="0" w:space="0" w:color="auto"/>
        <w:left w:val="none" w:sz="0" w:space="0" w:color="auto"/>
        <w:bottom w:val="none" w:sz="0" w:space="0" w:color="auto"/>
        <w:right w:val="none" w:sz="0" w:space="0" w:color="auto"/>
      </w:divBdr>
    </w:div>
    <w:div w:id="682131216">
      <w:bodyDiv w:val="1"/>
      <w:marLeft w:val="0"/>
      <w:marRight w:val="0"/>
      <w:marTop w:val="0"/>
      <w:marBottom w:val="0"/>
      <w:divBdr>
        <w:top w:val="none" w:sz="0" w:space="0" w:color="auto"/>
        <w:left w:val="none" w:sz="0" w:space="0" w:color="auto"/>
        <w:bottom w:val="none" w:sz="0" w:space="0" w:color="auto"/>
        <w:right w:val="none" w:sz="0" w:space="0" w:color="auto"/>
      </w:divBdr>
    </w:div>
    <w:div w:id="780957417">
      <w:bodyDiv w:val="1"/>
      <w:marLeft w:val="0"/>
      <w:marRight w:val="0"/>
      <w:marTop w:val="0"/>
      <w:marBottom w:val="0"/>
      <w:divBdr>
        <w:top w:val="none" w:sz="0" w:space="0" w:color="auto"/>
        <w:left w:val="none" w:sz="0" w:space="0" w:color="auto"/>
        <w:bottom w:val="none" w:sz="0" w:space="0" w:color="auto"/>
        <w:right w:val="none" w:sz="0" w:space="0" w:color="auto"/>
      </w:divBdr>
    </w:div>
    <w:div w:id="787940185">
      <w:bodyDiv w:val="1"/>
      <w:marLeft w:val="0"/>
      <w:marRight w:val="0"/>
      <w:marTop w:val="0"/>
      <w:marBottom w:val="0"/>
      <w:divBdr>
        <w:top w:val="none" w:sz="0" w:space="0" w:color="auto"/>
        <w:left w:val="none" w:sz="0" w:space="0" w:color="auto"/>
        <w:bottom w:val="none" w:sz="0" w:space="0" w:color="auto"/>
        <w:right w:val="none" w:sz="0" w:space="0" w:color="auto"/>
      </w:divBdr>
    </w:div>
    <w:div w:id="842625926">
      <w:bodyDiv w:val="1"/>
      <w:marLeft w:val="0"/>
      <w:marRight w:val="0"/>
      <w:marTop w:val="0"/>
      <w:marBottom w:val="0"/>
      <w:divBdr>
        <w:top w:val="none" w:sz="0" w:space="0" w:color="auto"/>
        <w:left w:val="none" w:sz="0" w:space="0" w:color="auto"/>
        <w:bottom w:val="none" w:sz="0" w:space="0" w:color="auto"/>
        <w:right w:val="none" w:sz="0" w:space="0" w:color="auto"/>
      </w:divBdr>
    </w:div>
    <w:div w:id="882643989">
      <w:bodyDiv w:val="1"/>
      <w:marLeft w:val="0"/>
      <w:marRight w:val="0"/>
      <w:marTop w:val="0"/>
      <w:marBottom w:val="0"/>
      <w:divBdr>
        <w:top w:val="none" w:sz="0" w:space="0" w:color="auto"/>
        <w:left w:val="none" w:sz="0" w:space="0" w:color="auto"/>
        <w:bottom w:val="none" w:sz="0" w:space="0" w:color="auto"/>
        <w:right w:val="none" w:sz="0" w:space="0" w:color="auto"/>
      </w:divBdr>
    </w:div>
    <w:div w:id="989559791">
      <w:bodyDiv w:val="1"/>
      <w:marLeft w:val="0"/>
      <w:marRight w:val="0"/>
      <w:marTop w:val="0"/>
      <w:marBottom w:val="0"/>
      <w:divBdr>
        <w:top w:val="none" w:sz="0" w:space="0" w:color="auto"/>
        <w:left w:val="none" w:sz="0" w:space="0" w:color="auto"/>
        <w:bottom w:val="none" w:sz="0" w:space="0" w:color="auto"/>
        <w:right w:val="none" w:sz="0" w:space="0" w:color="auto"/>
      </w:divBdr>
    </w:div>
    <w:div w:id="1054810504">
      <w:bodyDiv w:val="1"/>
      <w:marLeft w:val="0"/>
      <w:marRight w:val="0"/>
      <w:marTop w:val="0"/>
      <w:marBottom w:val="0"/>
      <w:divBdr>
        <w:top w:val="none" w:sz="0" w:space="0" w:color="auto"/>
        <w:left w:val="none" w:sz="0" w:space="0" w:color="auto"/>
        <w:bottom w:val="none" w:sz="0" w:space="0" w:color="auto"/>
        <w:right w:val="none" w:sz="0" w:space="0" w:color="auto"/>
      </w:divBdr>
    </w:div>
    <w:div w:id="1294561255">
      <w:bodyDiv w:val="1"/>
      <w:marLeft w:val="0"/>
      <w:marRight w:val="0"/>
      <w:marTop w:val="0"/>
      <w:marBottom w:val="0"/>
      <w:divBdr>
        <w:top w:val="none" w:sz="0" w:space="0" w:color="auto"/>
        <w:left w:val="none" w:sz="0" w:space="0" w:color="auto"/>
        <w:bottom w:val="none" w:sz="0" w:space="0" w:color="auto"/>
        <w:right w:val="none" w:sz="0" w:space="0" w:color="auto"/>
      </w:divBdr>
    </w:div>
    <w:div w:id="1505852678">
      <w:bodyDiv w:val="1"/>
      <w:marLeft w:val="0"/>
      <w:marRight w:val="0"/>
      <w:marTop w:val="0"/>
      <w:marBottom w:val="0"/>
      <w:divBdr>
        <w:top w:val="none" w:sz="0" w:space="0" w:color="auto"/>
        <w:left w:val="none" w:sz="0" w:space="0" w:color="auto"/>
        <w:bottom w:val="none" w:sz="0" w:space="0" w:color="auto"/>
        <w:right w:val="none" w:sz="0" w:space="0" w:color="auto"/>
      </w:divBdr>
    </w:div>
    <w:div w:id="1525093430">
      <w:bodyDiv w:val="1"/>
      <w:marLeft w:val="0"/>
      <w:marRight w:val="0"/>
      <w:marTop w:val="0"/>
      <w:marBottom w:val="0"/>
      <w:divBdr>
        <w:top w:val="none" w:sz="0" w:space="0" w:color="auto"/>
        <w:left w:val="none" w:sz="0" w:space="0" w:color="auto"/>
        <w:bottom w:val="none" w:sz="0" w:space="0" w:color="auto"/>
        <w:right w:val="none" w:sz="0" w:space="0" w:color="auto"/>
      </w:divBdr>
      <w:divsChild>
        <w:div w:id="1360160374">
          <w:marLeft w:val="0"/>
          <w:marRight w:val="0"/>
          <w:marTop w:val="0"/>
          <w:marBottom w:val="0"/>
          <w:divBdr>
            <w:top w:val="none" w:sz="0" w:space="0" w:color="auto"/>
            <w:left w:val="none" w:sz="0" w:space="0" w:color="auto"/>
            <w:bottom w:val="none" w:sz="0" w:space="0" w:color="auto"/>
            <w:right w:val="none" w:sz="0" w:space="0" w:color="auto"/>
          </w:divBdr>
          <w:divsChild>
            <w:div w:id="1236673030">
              <w:marLeft w:val="0"/>
              <w:marRight w:val="0"/>
              <w:marTop w:val="0"/>
              <w:marBottom w:val="0"/>
              <w:divBdr>
                <w:top w:val="none" w:sz="0" w:space="0" w:color="auto"/>
                <w:left w:val="none" w:sz="0" w:space="0" w:color="auto"/>
                <w:bottom w:val="none" w:sz="0" w:space="0" w:color="auto"/>
                <w:right w:val="none" w:sz="0" w:space="0" w:color="auto"/>
              </w:divBdr>
              <w:divsChild>
                <w:div w:id="1003511900">
                  <w:marLeft w:val="0"/>
                  <w:marRight w:val="0"/>
                  <w:marTop w:val="0"/>
                  <w:marBottom w:val="0"/>
                  <w:divBdr>
                    <w:top w:val="none" w:sz="0" w:space="0" w:color="auto"/>
                    <w:left w:val="none" w:sz="0" w:space="0" w:color="auto"/>
                    <w:bottom w:val="none" w:sz="0" w:space="0" w:color="auto"/>
                    <w:right w:val="none" w:sz="0" w:space="0" w:color="auto"/>
                  </w:divBdr>
                  <w:divsChild>
                    <w:div w:id="466750623">
                      <w:marLeft w:val="0"/>
                      <w:marRight w:val="0"/>
                      <w:marTop w:val="0"/>
                      <w:marBottom w:val="0"/>
                      <w:divBdr>
                        <w:top w:val="none" w:sz="0" w:space="0" w:color="auto"/>
                        <w:left w:val="none" w:sz="0" w:space="0" w:color="auto"/>
                        <w:bottom w:val="none" w:sz="0" w:space="0" w:color="auto"/>
                        <w:right w:val="none" w:sz="0" w:space="0" w:color="auto"/>
                      </w:divBdr>
                      <w:divsChild>
                        <w:div w:id="1986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87351">
      <w:bodyDiv w:val="1"/>
      <w:marLeft w:val="0"/>
      <w:marRight w:val="0"/>
      <w:marTop w:val="0"/>
      <w:marBottom w:val="0"/>
      <w:divBdr>
        <w:top w:val="none" w:sz="0" w:space="0" w:color="auto"/>
        <w:left w:val="none" w:sz="0" w:space="0" w:color="auto"/>
        <w:bottom w:val="none" w:sz="0" w:space="0" w:color="auto"/>
        <w:right w:val="none" w:sz="0" w:space="0" w:color="auto"/>
      </w:divBdr>
    </w:div>
    <w:div w:id="1588537533">
      <w:bodyDiv w:val="1"/>
      <w:marLeft w:val="0"/>
      <w:marRight w:val="0"/>
      <w:marTop w:val="0"/>
      <w:marBottom w:val="0"/>
      <w:divBdr>
        <w:top w:val="none" w:sz="0" w:space="0" w:color="auto"/>
        <w:left w:val="none" w:sz="0" w:space="0" w:color="auto"/>
        <w:bottom w:val="none" w:sz="0" w:space="0" w:color="auto"/>
        <w:right w:val="none" w:sz="0" w:space="0" w:color="auto"/>
      </w:divBdr>
    </w:div>
    <w:div w:id="1627202169">
      <w:bodyDiv w:val="1"/>
      <w:marLeft w:val="0"/>
      <w:marRight w:val="0"/>
      <w:marTop w:val="0"/>
      <w:marBottom w:val="0"/>
      <w:divBdr>
        <w:top w:val="none" w:sz="0" w:space="0" w:color="auto"/>
        <w:left w:val="none" w:sz="0" w:space="0" w:color="auto"/>
        <w:bottom w:val="none" w:sz="0" w:space="0" w:color="auto"/>
        <w:right w:val="none" w:sz="0" w:space="0" w:color="auto"/>
      </w:divBdr>
      <w:divsChild>
        <w:div w:id="168838602">
          <w:marLeft w:val="0"/>
          <w:marRight w:val="0"/>
          <w:marTop w:val="0"/>
          <w:marBottom w:val="0"/>
          <w:divBdr>
            <w:top w:val="none" w:sz="0" w:space="0" w:color="auto"/>
            <w:left w:val="none" w:sz="0" w:space="0" w:color="auto"/>
            <w:bottom w:val="none" w:sz="0" w:space="0" w:color="auto"/>
            <w:right w:val="none" w:sz="0" w:space="0" w:color="auto"/>
          </w:divBdr>
        </w:div>
      </w:divsChild>
    </w:div>
    <w:div w:id="1678189277">
      <w:bodyDiv w:val="1"/>
      <w:marLeft w:val="0"/>
      <w:marRight w:val="0"/>
      <w:marTop w:val="0"/>
      <w:marBottom w:val="0"/>
      <w:divBdr>
        <w:top w:val="none" w:sz="0" w:space="0" w:color="auto"/>
        <w:left w:val="none" w:sz="0" w:space="0" w:color="auto"/>
        <w:bottom w:val="none" w:sz="0" w:space="0" w:color="auto"/>
        <w:right w:val="none" w:sz="0" w:space="0" w:color="auto"/>
      </w:divBdr>
    </w:div>
    <w:div w:id="1789398626">
      <w:bodyDiv w:val="1"/>
      <w:marLeft w:val="0"/>
      <w:marRight w:val="0"/>
      <w:marTop w:val="0"/>
      <w:marBottom w:val="0"/>
      <w:divBdr>
        <w:top w:val="none" w:sz="0" w:space="0" w:color="auto"/>
        <w:left w:val="none" w:sz="0" w:space="0" w:color="auto"/>
        <w:bottom w:val="none" w:sz="0" w:space="0" w:color="auto"/>
        <w:right w:val="none" w:sz="0" w:space="0" w:color="auto"/>
      </w:divBdr>
      <w:divsChild>
        <w:div w:id="836727488">
          <w:marLeft w:val="0"/>
          <w:marRight w:val="0"/>
          <w:marTop w:val="0"/>
          <w:marBottom w:val="0"/>
          <w:divBdr>
            <w:top w:val="none" w:sz="0" w:space="0" w:color="auto"/>
            <w:left w:val="none" w:sz="0" w:space="0" w:color="auto"/>
            <w:bottom w:val="none" w:sz="0" w:space="0" w:color="auto"/>
            <w:right w:val="none" w:sz="0" w:space="0" w:color="auto"/>
          </w:divBdr>
          <w:divsChild>
            <w:div w:id="2091464602">
              <w:marLeft w:val="0"/>
              <w:marRight w:val="0"/>
              <w:marTop w:val="0"/>
              <w:marBottom w:val="0"/>
              <w:divBdr>
                <w:top w:val="none" w:sz="0" w:space="0" w:color="auto"/>
                <w:left w:val="none" w:sz="0" w:space="0" w:color="auto"/>
                <w:bottom w:val="none" w:sz="0" w:space="0" w:color="auto"/>
                <w:right w:val="none" w:sz="0" w:space="0" w:color="auto"/>
              </w:divBdr>
              <w:divsChild>
                <w:div w:id="432627705">
                  <w:marLeft w:val="2955"/>
                  <w:marRight w:val="0"/>
                  <w:marTop w:val="150"/>
                  <w:marBottom w:val="0"/>
                  <w:divBdr>
                    <w:top w:val="none" w:sz="0" w:space="0" w:color="auto"/>
                    <w:left w:val="none" w:sz="0" w:space="0" w:color="auto"/>
                    <w:bottom w:val="none" w:sz="0" w:space="0" w:color="auto"/>
                    <w:right w:val="none" w:sz="0" w:space="0" w:color="auto"/>
                  </w:divBdr>
                  <w:divsChild>
                    <w:div w:id="1483548538">
                      <w:marLeft w:val="0"/>
                      <w:marRight w:val="0"/>
                      <w:marTop w:val="0"/>
                      <w:marBottom w:val="0"/>
                      <w:divBdr>
                        <w:top w:val="none" w:sz="0" w:space="0" w:color="auto"/>
                        <w:left w:val="none" w:sz="0" w:space="0" w:color="auto"/>
                        <w:bottom w:val="none" w:sz="0" w:space="0" w:color="auto"/>
                        <w:right w:val="none" w:sz="0" w:space="0" w:color="auto"/>
                      </w:divBdr>
                      <w:divsChild>
                        <w:div w:id="354354022">
                          <w:marLeft w:val="45"/>
                          <w:marRight w:val="0"/>
                          <w:marTop w:val="135"/>
                          <w:marBottom w:val="0"/>
                          <w:divBdr>
                            <w:top w:val="none" w:sz="0" w:space="0" w:color="auto"/>
                            <w:left w:val="none" w:sz="0" w:space="0" w:color="auto"/>
                            <w:bottom w:val="none" w:sz="0" w:space="0" w:color="auto"/>
                            <w:right w:val="none" w:sz="0" w:space="0" w:color="auto"/>
                          </w:divBdr>
                          <w:divsChild>
                            <w:div w:id="950280415">
                              <w:marLeft w:val="0"/>
                              <w:marRight w:val="0"/>
                              <w:marTop w:val="0"/>
                              <w:marBottom w:val="0"/>
                              <w:divBdr>
                                <w:top w:val="none" w:sz="0" w:space="0" w:color="auto"/>
                                <w:left w:val="none" w:sz="0" w:space="0" w:color="auto"/>
                                <w:bottom w:val="none" w:sz="0" w:space="0" w:color="auto"/>
                                <w:right w:val="none" w:sz="0" w:space="0" w:color="auto"/>
                              </w:divBdr>
                              <w:divsChild>
                                <w:div w:id="320162269">
                                  <w:marLeft w:val="0"/>
                                  <w:marRight w:val="0"/>
                                  <w:marTop w:val="0"/>
                                  <w:marBottom w:val="0"/>
                                  <w:divBdr>
                                    <w:top w:val="none" w:sz="0" w:space="0" w:color="auto"/>
                                    <w:left w:val="none" w:sz="0" w:space="0" w:color="auto"/>
                                    <w:bottom w:val="none" w:sz="0" w:space="0" w:color="auto"/>
                                    <w:right w:val="none" w:sz="0" w:space="0" w:color="auto"/>
                                  </w:divBdr>
                                  <w:divsChild>
                                    <w:div w:id="1435439082">
                                      <w:marLeft w:val="150"/>
                                      <w:marRight w:val="105"/>
                                      <w:marTop w:val="0"/>
                                      <w:marBottom w:val="0"/>
                                      <w:divBdr>
                                        <w:top w:val="none" w:sz="0" w:space="0" w:color="auto"/>
                                        <w:left w:val="none" w:sz="0" w:space="0" w:color="auto"/>
                                        <w:bottom w:val="none" w:sz="0" w:space="0" w:color="auto"/>
                                        <w:right w:val="none" w:sz="0" w:space="0" w:color="auto"/>
                                      </w:divBdr>
                                      <w:divsChild>
                                        <w:div w:id="1631783115">
                                          <w:marLeft w:val="0"/>
                                          <w:marRight w:val="0"/>
                                          <w:marTop w:val="0"/>
                                          <w:marBottom w:val="0"/>
                                          <w:divBdr>
                                            <w:top w:val="none" w:sz="0" w:space="0" w:color="auto"/>
                                            <w:left w:val="none" w:sz="0" w:space="0" w:color="auto"/>
                                            <w:bottom w:val="none" w:sz="0" w:space="0" w:color="auto"/>
                                            <w:right w:val="none" w:sz="0" w:space="0" w:color="auto"/>
                                          </w:divBdr>
                                          <w:divsChild>
                                            <w:div w:id="1574461793">
                                              <w:marLeft w:val="-90"/>
                                              <w:marRight w:val="0"/>
                                              <w:marTop w:val="0"/>
                                              <w:marBottom w:val="0"/>
                                              <w:divBdr>
                                                <w:top w:val="none" w:sz="0" w:space="0" w:color="auto"/>
                                                <w:left w:val="none" w:sz="0" w:space="0" w:color="auto"/>
                                                <w:bottom w:val="none" w:sz="0" w:space="0" w:color="auto"/>
                                                <w:right w:val="none" w:sz="0" w:space="0" w:color="auto"/>
                                              </w:divBdr>
                                              <w:divsChild>
                                                <w:div w:id="887496845">
                                                  <w:marLeft w:val="120"/>
                                                  <w:marRight w:val="0"/>
                                                  <w:marTop w:val="0"/>
                                                  <w:marBottom w:val="0"/>
                                                  <w:divBdr>
                                                    <w:top w:val="none" w:sz="0" w:space="0" w:color="auto"/>
                                                    <w:left w:val="none" w:sz="0" w:space="0" w:color="auto"/>
                                                    <w:bottom w:val="none" w:sz="0" w:space="0" w:color="auto"/>
                                                    <w:right w:val="none" w:sz="0" w:space="0" w:color="auto"/>
                                                  </w:divBdr>
                                                  <w:divsChild>
                                                    <w:div w:id="1785465921">
                                                      <w:marLeft w:val="0"/>
                                                      <w:marRight w:val="0"/>
                                                      <w:marTop w:val="0"/>
                                                      <w:marBottom w:val="0"/>
                                                      <w:divBdr>
                                                        <w:top w:val="none" w:sz="0" w:space="0" w:color="auto"/>
                                                        <w:left w:val="none" w:sz="0" w:space="0" w:color="auto"/>
                                                        <w:bottom w:val="none" w:sz="0" w:space="0" w:color="auto"/>
                                                        <w:right w:val="none" w:sz="0" w:space="0" w:color="auto"/>
                                                      </w:divBdr>
                                                      <w:divsChild>
                                                        <w:div w:id="43453500">
                                                          <w:marLeft w:val="0"/>
                                                          <w:marRight w:val="0"/>
                                                          <w:marTop w:val="0"/>
                                                          <w:marBottom w:val="0"/>
                                                          <w:divBdr>
                                                            <w:top w:val="none" w:sz="0" w:space="0" w:color="auto"/>
                                                            <w:left w:val="none" w:sz="0" w:space="0" w:color="auto"/>
                                                            <w:bottom w:val="none" w:sz="0" w:space="0" w:color="auto"/>
                                                            <w:right w:val="none" w:sz="0" w:space="0" w:color="auto"/>
                                                          </w:divBdr>
                                                          <w:divsChild>
                                                            <w:div w:id="1912348801">
                                                              <w:marLeft w:val="0"/>
                                                              <w:marRight w:val="0"/>
                                                              <w:marTop w:val="0"/>
                                                              <w:marBottom w:val="0"/>
                                                              <w:divBdr>
                                                                <w:top w:val="none" w:sz="0" w:space="0" w:color="auto"/>
                                                                <w:left w:val="none" w:sz="0" w:space="0" w:color="auto"/>
                                                                <w:bottom w:val="none" w:sz="0" w:space="0" w:color="auto"/>
                                                                <w:right w:val="none" w:sz="0" w:space="0" w:color="auto"/>
                                                              </w:divBdr>
                                                              <w:divsChild>
                                                                <w:div w:id="264383734">
                                                                  <w:marLeft w:val="0"/>
                                                                  <w:marRight w:val="0"/>
                                                                  <w:marTop w:val="0"/>
                                                                  <w:marBottom w:val="75"/>
                                                                  <w:divBdr>
                                                                    <w:top w:val="none" w:sz="0" w:space="0" w:color="auto"/>
                                                                    <w:left w:val="single" w:sz="6" w:space="0" w:color="FFFFFF"/>
                                                                    <w:bottom w:val="none" w:sz="0" w:space="0" w:color="auto"/>
                                                                    <w:right w:val="single" w:sz="6" w:space="0" w:color="FFFFFF"/>
                                                                  </w:divBdr>
                                                                  <w:divsChild>
                                                                    <w:div w:id="370765822">
                                                                      <w:marLeft w:val="0"/>
                                                                      <w:marRight w:val="-30"/>
                                                                      <w:marTop w:val="0"/>
                                                                      <w:marBottom w:val="0"/>
                                                                      <w:divBdr>
                                                                        <w:top w:val="none" w:sz="0" w:space="0" w:color="auto"/>
                                                                        <w:left w:val="none" w:sz="0" w:space="0" w:color="auto"/>
                                                                        <w:bottom w:val="none" w:sz="0" w:space="0" w:color="auto"/>
                                                                        <w:right w:val="none" w:sz="0" w:space="0" w:color="auto"/>
                                                                      </w:divBdr>
                                                                      <w:divsChild>
                                                                        <w:div w:id="75058826">
                                                                          <w:marLeft w:val="0"/>
                                                                          <w:marRight w:val="0"/>
                                                                          <w:marTop w:val="0"/>
                                                                          <w:marBottom w:val="0"/>
                                                                          <w:divBdr>
                                                                            <w:top w:val="none" w:sz="0" w:space="0" w:color="auto"/>
                                                                            <w:left w:val="none" w:sz="0" w:space="0" w:color="auto"/>
                                                                            <w:bottom w:val="none" w:sz="0" w:space="0" w:color="auto"/>
                                                                            <w:right w:val="none" w:sz="0" w:space="0" w:color="auto"/>
                                                                          </w:divBdr>
                                                                          <w:divsChild>
                                                                            <w:div w:id="1211452738">
                                                                              <w:marLeft w:val="0"/>
                                                                              <w:marRight w:val="0"/>
                                                                              <w:marTop w:val="0"/>
                                                                              <w:marBottom w:val="0"/>
                                                                              <w:divBdr>
                                                                                <w:top w:val="none" w:sz="0" w:space="0" w:color="auto"/>
                                                                                <w:left w:val="none" w:sz="0" w:space="0" w:color="auto"/>
                                                                                <w:bottom w:val="none" w:sz="0" w:space="0" w:color="auto"/>
                                                                                <w:right w:val="none" w:sz="0" w:space="0" w:color="auto"/>
                                                                              </w:divBdr>
                                                                              <w:divsChild>
                                                                                <w:div w:id="700015802">
                                                                                  <w:marLeft w:val="0"/>
                                                                                  <w:marRight w:val="0"/>
                                                                                  <w:marTop w:val="0"/>
                                                                                  <w:marBottom w:val="0"/>
                                                                                  <w:divBdr>
                                                                                    <w:top w:val="none" w:sz="0" w:space="0" w:color="auto"/>
                                                                                    <w:left w:val="none" w:sz="0" w:space="0" w:color="auto"/>
                                                                                    <w:bottom w:val="none" w:sz="0" w:space="0" w:color="auto"/>
                                                                                    <w:right w:val="none" w:sz="0" w:space="0" w:color="auto"/>
                                                                                  </w:divBdr>
                                                                                  <w:divsChild>
                                                                                    <w:div w:id="2131051619">
                                                                                      <w:marLeft w:val="0"/>
                                                                                      <w:marRight w:val="0"/>
                                                                                      <w:marTop w:val="0"/>
                                                                                      <w:marBottom w:val="0"/>
                                                                                      <w:divBdr>
                                                                                        <w:top w:val="none" w:sz="0" w:space="0" w:color="auto"/>
                                                                                        <w:left w:val="none" w:sz="0" w:space="0" w:color="auto"/>
                                                                                        <w:bottom w:val="none" w:sz="0" w:space="0" w:color="auto"/>
                                                                                        <w:right w:val="none" w:sz="0" w:space="0" w:color="auto"/>
                                                                                      </w:divBdr>
                                                                                      <w:divsChild>
                                                                                        <w:div w:id="19663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930419">
      <w:bodyDiv w:val="1"/>
      <w:marLeft w:val="0"/>
      <w:marRight w:val="0"/>
      <w:marTop w:val="0"/>
      <w:marBottom w:val="0"/>
      <w:divBdr>
        <w:top w:val="none" w:sz="0" w:space="0" w:color="auto"/>
        <w:left w:val="none" w:sz="0" w:space="0" w:color="auto"/>
        <w:bottom w:val="none" w:sz="0" w:space="0" w:color="auto"/>
        <w:right w:val="none" w:sz="0" w:space="0" w:color="auto"/>
      </w:divBdr>
      <w:divsChild>
        <w:div w:id="1205407531">
          <w:marLeft w:val="0"/>
          <w:marRight w:val="0"/>
          <w:marTop w:val="0"/>
          <w:marBottom w:val="0"/>
          <w:divBdr>
            <w:top w:val="none" w:sz="0" w:space="0" w:color="auto"/>
            <w:left w:val="none" w:sz="0" w:space="0" w:color="auto"/>
            <w:bottom w:val="none" w:sz="0" w:space="0" w:color="auto"/>
            <w:right w:val="none" w:sz="0" w:space="0" w:color="auto"/>
          </w:divBdr>
          <w:divsChild>
            <w:div w:id="715811396">
              <w:marLeft w:val="0"/>
              <w:marRight w:val="0"/>
              <w:marTop w:val="0"/>
              <w:marBottom w:val="0"/>
              <w:divBdr>
                <w:top w:val="none" w:sz="0" w:space="0" w:color="auto"/>
                <w:left w:val="none" w:sz="0" w:space="0" w:color="auto"/>
                <w:bottom w:val="none" w:sz="0" w:space="0" w:color="auto"/>
                <w:right w:val="none" w:sz="0" w:space="0" w:color="auto"/>
              </w:divBdr>
              <w:divsChild>
                <w:div w:id="426655219">
                  <w:marLeft w:val="0"/>
                  <w:marRight w:val="0"/>
                  <w:marTop w:val="0"/>
                  <w:marBottom w:val="0"/>
                  <w:divBdr>
                    <w:top w:val="none" w:sz="0" w:space="0" w:color="auto"/>
                    <w:left w:val="none" w:sz="0" w:space="0" w:color="auto"/>
                    <w:bottom w:val="none" w:sz="0" w:space="0" w:color="auto"/>
                    <w:right w:val="none" w:sz="0" w:space="0" w:color="auto"/>
                  </w:divBdr>
                  <w:divsChild>
                    <w:div w:id="1754886383">
                      <w:marLeft w:val="0"/>
                      <w:marRight w:val="0"/>
                      <w:marTop w:val="0"/>
                      <w:marBottom w:val="0"/>
                      <w:divBdr>
                        <w:top w:val="none" w:sz="0" w:space="0" w:color="auto"/>
                        <w:left w:val="none" w:sz="0" w:space="0" w:color="auto"/>
                        <w:bottom w:val="none" w:sz="0" w:space="0" w:color="auto"/>
                        <w:right w:val="none" w:sz="0" w:space="0" w:color="auto"/>
                      </w:divBdr>
                      <w:divsChild>
                        <w:div w:id="18642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5279">
      <w:bodyDiv w:val="1"/>
      <w:marLeft w:val="0"/>
      <w:marRight w:val="0"/>
      <w:marTop w:val="0"/>
      <w:marBottom w:val="0"/>
      <w:divBdr>
        <w:top w:val="none" w:sz="0" w:space="0" w:color="auto"/>
        <w:left w:val="none" w:sz="0" w:space="0" w:color="auto"/>
        <w:bottom w:val="none" w:sz="0" w:space="0" w:color="auto"/>
        <w:right w:val="none" w:sz="0" w:space="0" w:color="auto"/>
      </w:divBdr>
      <w:divsChild>
        <w:div w:id="147475734">
          <w:marLeft w:val="0"/>
          <w:marRight w:val="0"/>
          <w:marTop w:val="0"/>
          <w:marBottom w:val="0"/>
          <w:divBdr>
            <w:top w:val="none" w:sz="0" w:space="0" w:color="auto"/>
            <w:left w:val="none" w:sz="0" w:space="0" w:color="auto"/>
            <w:bottom w:val="none" w:sz="0" w:space="0" w:color="auto"/>
            <w:right w:val="none" w:sz="0" w:space="0" w:color="auto"/>
          </w:divBdr>
          <w:divsChild>
            <w:div w:id="1885365629">
              <w:marLeft w:val="0"/>
              <w:marRight w:val="0"/>
              <w:marTop w:val="0"/>
              <w:marBottom w:val="0"/>
              <w:divBdr>
                <w:top w:val="none" w:sz="0" w:space="0" w:color="auto"/>
                <w:left w:val="none" w:sz="0" w:space="0" w:color="auto"/>
                <w:bottom w:val="none" w:sz="0" w:space="0" w:color="auto"/>
                <w:right w:val="none" w:sz="0" w:space="0" w:color="auto"/>
              </w:divBdr>
              <w:divsChild>
                <w:div w:id="51276413">
                  <w:marLeft w:val="0"/>
                  <w:marRight w:val="0"/>
                  <w:marTop w:val="0"/>
                  <w:marBottom w:val="0"/>
                  <w:divBdr>
                    <w:top w:val="none" w:sz="0" w:space="0" w:color="auto"/>
                    <w:left w:val="none" w:sz="0" w:space="0" w:color="auto"/>
                    <w:bottom w:val="none" w:sz="0" w:space="0" w:color="auto"/>
                    <w:right w:val="none" w:sz="0" w:space="0" w:color="auto"/>
                  </w:divBdr>
                  <w:divsChild>
                    <w:div w:id="28335577">
                      <w:marLeft w:val="0"/>
                      <w:marRight w:val="0"/>
                      <w:marTop w:val="0"/>
                      <w:marBottom w:val="0"/>
                      <w:divBdr>
                        <w:top w:val="none" w:sz="0" w:space="0" w:color="auto"/>
                        <w:left w:val="none" w:sz="0" w:space="0" w:color="auto"/>
                        <w:bottom w:val="none" w:sz="0" w:space="0" w:color="auto"/>
                        <w:right w:val="none" w:sz="0" w:space="0" w:color="auto"/>
                      </w:divBdr>
                      <w:divsChild>
                        <w:div w:id="8150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15165">
      <w:bodyDiv w:val="1"/>
      <w:marLeft w:val="0"/>
      <w:marRight w:val="0"/>
      <w:marTop w:val="0"/>
      <w:marBottom w:val="0"/>
      <w:divBdr>
        <w:top w:val="none" w:sz="0" w:space="0" w:color="auto"/>
        <w:left w:val="none" w:sz="0" w:space="0" w:color="auto"/>
        <w:bottom w:val="none" w:sz="0" w:space="0" w:color="auto"/>
        <w:right w:val="none" w:sz="0" w:space="0" w:color="auto"/>
      </w:divBdr>
      <w:divsChild>
        <w:div w:id="241305831">
          <w:marLeft w:val="547"/>
          <w:marRight w:val="0"/>
          <w:marTop w:val="134"/>
          <w:marBottom w:val="0"/>
          <w:divBdr>
            <w:top w:val="none" w:sz="0" w:space="0" w:color="auto"/>
            <w:left w:val="none" w:sz="0" w:space="0" w:color="auto"/>
            <w:bottom w:val="none" w:sz="0" w:space="0" w:color="auto"/>
            <w:right w:val="none" w:sz="0" w:space="0" w:color="auto"/>
          </w:divBdr>
        </w:div>
        <w:div w:id="412510400">
          <w:marLeft w:val="547"/>
          <w:marRight w:val="0"/>
          <w:marTop w:val="134"/>
          <w:marBottom w:val="0"/>
          <w:divBdr>
            <w:top w:val="none" w:sz="0" w:space="0" w:color="auto"/>
            <w:left w:val="none" w:sz="0" w:space="0" w:color="auto"/>
            <w:bottom w:val="none" w:sz="0" w:space="0" w:color="auto"/>
            <w:right w:val="none" w:sz="0" w:space="0" w:color="auto"/>
          </w:divBdr>
        </w:div>
        <w:div w:id="433207930">
          <w:marLeft w:val="547"/>
          <w:marRight w:val="0"/>
          <w:marTop w:val="134"/>
          <w:marBottom w:val="0"/>
          <w:divBdr>
            <w:top w:val="none" w:sz="0" w:space="0" w:color="auto"/>
            <w:left w:val="none" w:sz="0" w:space="0" w:color="auto"/>
            <w:bottom w:val="none" w:sz="0" w:space="0" w:color="auto"/>
            <w:right w:val="none" w:sz="0" w:space="0" w:color="auto"/>
          </w:divBdr>
        </w:div>
        <w:div w:id="60392035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cha.org.uk/my-qc-home/neighbourhood-plans-for-2025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C85D-79D0-4EAE-B740-42A9FEF2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6</Pages>
  <Words>2639</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MINUTES OF MEETING NO</vt:lpstr>
    </vt:vector>
  </TitlesOfParts>
  <Company>qxha</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NO</dc:title>
  <dc:creator>SThomson</dc:creator>
  <cp:lastModifiedBy>Alison McKay</cp:lastModifiedBy>
  <cp:revision>119</cp:revision>
  <cp:lastPrinted>2020-03-03T08:18:00Z</cp:lastPrinted>
  <dcterms:created xsi:type="dcterms:W3CDTF">2020-05-11T09:12:00Z</dcterms:created>
  <dcterms:modified xsi:type="dcterms:W3CDTF">2025-08-29T14:26:00Z</dcterms:modified>
</cp:coreProperties>
</file>